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FC92A" w14:textId="77777777" w:rsidR="008956AF" w:rsidRPr="00F71118" w:rsidRDefault="00C13717" w:rsidP="008956AF">
      <w:pPr>
        <w:pStyle w:val="AODocTxt"/>
        <w:spacing w:line="240" w:lineRule="auto"/>
        <w:rPr>
          <w:rFonts w:ascii="Arial" w:hAnsi="Arial" w:cs="Arial"/>
          <w:sz w:val="20"/>
          <w:szCs w:val="20"/>
        </w:rPr>
      </w:pPr>
      <w:r w:rsidRPr="00F71118">
        <w:rPr>
          <w:rFonts w:ascii="Arial" w:hAnsi="Arial" w:cs="Arial"/>
          <w:b/>
          <w:sz w:val="20"/>
          <w:szCs w:val="20"/>
        </w:rPr>
        <w:t>NOT FOR RELEASE, PUBLICATION OR DISTRIBUTION, IN WHOLE OR IN PART, DIRECTLY OR INDIRECTLY, IN, INTO OR FROM ANY JURISDICTION WHERE TO DO SO WOULD CONSTITUTE A VIOLATION OF THE RELEVANT LAWS OR REGULATIONS OF SUCH JURISDICTION</w:t>
      </w:r>
    </w:p>
    <w:p w14:paraId="26576B97" w14:textId="35996A30" w:rsidR="006E0DF4" w:rsidRPr="00F71118" w:rsidRDefault="00C13717" w:rsidP="006E0DF4">
      <w:pPr>
        <w:pStyle w:val="AODocTxt"/>
        <w:spacing w:line="240" w:lineRule="auto"/>
        <w:rPr>
          <w:rFonts w:ascii="Arial" w:hAnsi="Arial" w:cs="Arial"/>
          <w:sz w:val="20"/>
          <w:szCs w:val="20"/>
        </w:rPr>
      </w:pPr>
      <w:r w:rsidRPr="00F71118">
        <w:rPr>
          <w:rFonts w:ascii="Arial" w:hAnsi="Arial" w:cs="Arial"/>
          <w:b/>
          <w:sz w:val="20"/>
          <w:szCs w:val="20"/>
        </w:rPr>
        <w:t>FOR IMMEDIATE RELEASE</w:t>
      </w:r>
    </w:p>
    <w:p w14:paraId="2F793082" w14:textId="77777777" w:rsidR="00A050E2" w:rsidRPr="00F71118" w:rsidRDefault="00A050E2" w:rsidP="006E0DF4">
      <w:pPr>
        <w:pStyle w:val="AODocTxt"/>
        <w:spacing w:line="240" w:lineRule="auto"/>
        <w:rPr>
          <w:rFonts w:ascii="Arial" w:hAnsi="Arial" w:cs="Arial"/>
          <w:sz w:val="20"/>
          <w:szCs w:val="20"/>
        </w:rPr>
      </w:pPr>
    </w:p>
    <w:p w14:paraId="5746BD59" w14:textId="2446568E" w:rsidR="00E7697F" w:rsidRPr="00F71118" w:rsidRDefault="00C13717" w:rsidP="00EA1B93">
      <w:pPr>
        <w:pStyle w:val="BodyText1"/>
        <w:keepNext/>
        <w:widowControl w:val="0"/>
        <w:jc w:val="right"/>
        <w:rPr>
          <w:rFonts w:ascii="Arial" w:eastAsiaTheme="minorHAnsi" w:hAnsi="Arial" w:cs="Arial"/>
          <w:b/>
          <w:sz w:val="20"/>
          <w:szCs w:val="20"/>
        </w:rPr>
      </w:pPr>
      <w:r>
        <w:rPr>
          <w:rFonts w:ascii="Arial" w:eastAsiaTheme="minorHAnsi" w:hAnsi="Arial" w:cs="Arial"/>
          <w:b/>
          <w:sz w:val="20"/>
          <w:szCs w:val="20"/>
        </w:rPr>
        <w:t>16 January</w:t>
      </w:r>
      <w:r w:rsidR="00EA1B93" w:rsidRPr="00F71118">
        <w:rPr>
          <w:rFonts w:ascii="Arial" w:eastAsiaTheme="minorHAnsi" w:hAnsi="Arial" w:cs="Arial"/>
          <w:b/>
          <w:sz w:val="20"/>
          <w:szCs w:val="20"/>
        </w:rPr>
        <w:t xml:space="preserve"> </w:t>
      </w:r>
      <w:r w:rsidR="00AA7020">
        <w:rPr>
          <w:rFonts w:ascii="Arial" w:eastAsiaTheme="minorHAnsi" w:hAnsi="Arial" w:cs="Arial"/>
          <w:b/>
          <w:sz w:val="20"/>
          <w:szCs w:val="20"/>
        </w:rPr>
        <w:t>2024</w:t>
      </w:r>
    </w:p>
    <w:p w14:paraId="4FDAF32C" w14:textId="77777777" w:rsidR="00A050E2" w:rsidRPr="00F71118" w:rsidRDefault="00A050E2" w:rsidP="006E0DF4">
      <w:pPr>
        <w:pStyle w:val="AODocTxt"/>
        <w:spacing w:before="120" w:line="240" w:lineRule="auto"/>
        <w:jc w:val="center"/>
        <w:rPr>
          <w:rFonts w:ascii="Arial" w:hAnsi="Arial" w:cs="Arial"/>
          <w:b/>
          <w:sz w:val="20"/>
          <w:szCs w:val="20"/>
        </w:rPr>
      </w:pPr>
    </w:p>
    <w:p w14:paraId="25871C44" w14:textId="75B43189" w:rsidR="004C4499" w:rsidRDefault="00C13717" w:rsidP="004C4499">
      <w:pPr>
        <w:pStyle w:val="BodyText"/>
        <w:jc w:val="center"/>
        <w:rPr>
          <w:rFonts w:ascii="Arial" w:hAnsi="Arial" w:cs="Arial"/>
          <w:b/>
          <w:sz w:val="20"/>
        </w:rPr>
      </w:pPr>
      <w:r w:rsidRPr="00A73A38">
        <w:rPr>
          <w:rFonts w:ascii="Arial" w:hAnsi="Arial" w:cs="Arial"/>
          <w:b/>
          <w:sz w:val="20"/>
        </w:rPr>
        <w:t>RECOMMENDED CASH ACQUISITION</w:t>
      </w:r>
    </w:p>
    <w:p w14:paraId="4B54296E" w14:textId="77777777" w:rsidR="004C4499" w:rsidRPr="00A73A38" w:rsidRDefault="00C13717" w:rsidP="004C4499">
      <w:pPr>
        <w:pStyle w:val="BodyText"/>
        <w:jc w:val="center"/>
        <w:rPr>
          <w:rFonts w:ascii="Arial" w:hAnsi="Arial" w:cs="Arial"/>
          <w:b/>
          <w:sz w:val="20"/>
        </w:rPr>
      </w:pPr>
      <w:r w:rsidRPr="00A73A38">
        <w:rPr>
          <w:rFonts w:ascii="Arial" w:hAnsi="Arial" w:cs="Arial"/>
          <w:b/>
          <w:sz w:val="20"/>
        </w:rPr>
        <w:t>of</w:t>
      </w:r>
    </w:p>
    <w:p w14:paraId="76C63ACC" w14:textId="77777777" w:rsidR="004C4499" w:rsidRPr="00A73A38" w:rsidRDefault="00C13717" w:rsidP="004C4499">
      <w:pPr>
        <w:pStyle w:val="BodyText"/>
        <w:jc w:val="center"/>
        <w:rPr>
          <w:rFonts w:ascii="Arial" w:hAnsi="Arial" w:cs="Arial"/>
          <w:b/>
          <w:sz w:val="20"/>
        </w:rPr>
      </w:pPr>
      <w:r>
        <w:rPr>
          <w:rFonts w:ascii="Arial" w:hAnsi="Arial" w:cs="Arial"/>
          <w:b/>
          <w:sz w:val="20"/>
        </w:rPr>
        <w:t>Dechra</w:t>
      </w:r>
      <w:r w:rsidRPr="00A73A38">
        <w:rPr>
          <w:rFonts w:ascii="Arial" w:hAnsi="Arial" w:cs="Arial"/>
          <w:b/>
          <w:sz w:val="20"/>
        </w:rPr>
        <w:t xml:space="preserve"> </w:t>
      </w:r>
      <w:r>
        <w:rPr>
          <w:rFonts w:ascii="Arial" w:hAnsi="Arial" w:cs="Arial"/>
          <w:b/>
          <w:sz w:val="20"/>
        </w:rPr>
        <w:t xml:space="preserve">Pharmaceuticals </w:t>
      </w:r>
      <w:r w:rsidRPr="00A73A38">
        <w:rPr>
          <w:rFonts w:ascii="Arial" w:hAnsi="Arial" w:cs="Arial"/>
          <w:b/>
          <w:sz w:val="20"/>
        </w:rPr>
        <w:t>PLC (“</w:t>
      </w:r>
      <w:r>
        <w:rPr>
          <w:rFonts w:ascii="Arial" w:hAnsi="Arial" w:cs="Arial"/>
          <w:b/>
          <w:sz w:val="20"/>
        </w:rPr>
        <w:t>Dechra</w:t>
      </w:r>
      <w:r w:rsidRPr="00A73A38">
        <w:rPr>
          <w:rFonts w:ascii="Arial" w:hAnsi="Arial" w:cs="Arial"/>
          <w:b/>
          <w:sz w:val="20"/>
        </w:rPr>
        <w:t>” or the “Company”)</w:t>
      </w:r>
    </w:p>
    <w:p w14:paraId="2DCA9C25" w14:textId="77777777" w:rsidR="004C4499" w:rsidRPr="00A73A38" w:rsidRDefault="00C13717" w:rsidP="004C4499">
      <w:pPr>
        <w:pStyle w:val="BodyText"/>
        <w:jc w:val="center"/>
        <w:rPr>
          <w:rFonts w:ascii="Arial" w:hAnsi="Arial" w:cs="Arial"/>
          <w:b/>
          <w:sz w:val="20"/>
        </w:rPr>
      </w:pPr>
      <w:r w:rsidRPr="00A73A38">
        <w:rPr>
          <w:rFonts w:ascii="Arial" w:hAnsi="Arial" w:cs="Arial"/>
          <w:b/>
          <w:sz w:val="20"/>
        </w:rPr>
        <w:t>by</w:t>
      </w:r>
    </w:p>
    <w:p w14:paraId="50D510FB" w14:textId="77777777" w:rsidR="004C4499" w:rsidRPr="00A73A38" w:rsidRDefault="00C13717" w:rsidP="004C4499">
      <w:pPr>
        <w:pStyle w:val="BodyText"/>
        <w:jc w:val="center"/>
        <w:rPr>
          <w:rFonts w:ascii="Arial" w:hAnsi="Arial" w:cs="Arial"/>
          <w:b/>
          <w:sz w:val="20"/>
        </w:rPr>
      </w:pPr>
      <w:r>
        <w:rPr>
          <w:rFonts w:ascii="Arial" w:hAnsi="Arial" w:cs="Arial"/>
          <w:b/>
          <w:sz w:val="20"/>
        </w:rPr>
        <w:t>Freya Bidco Limited</w:t>
      </w:r>
      <w:r w:rsidRPr="00A73A38">
        <w:rPr>
          <w:rFonts w:ascii="Arial" w:hAnsi="Arial" w:cs="Arial"/>
          <w:b/>
          <w:sz w:val="20"/>
        </w:rPr>
        <w:t xml:space="preserve"> (“Bidco”)</w:t>
      </w:r>
    </w:p>
    <w:p w14:paraId="18F94959" w14:textId="77777777" w:rsidR="004C4499" w:rsidRDefault="00C13717" w:rsidP="004C4499">
      <w:pPr>
        <w:pStyle w:val="BodyText"/>
        <w:jc w:val="center"/>
        <w:rPr>
          <w:rFonts w:ascii="Arial" w:hAnsi="Arial" w:cs="Arial"/>
          <w:b/>
          <w:bCs/>
          <w:sz w:val="20"/>
        </w:rPr>
      </w:pPr>
      <w:r w:rsidRPr="003A4E5C">
        <w:rPr>
          <w:rFonts w:ascii="Arial" w:hAnsi="Arial" w:cs="Arial"/>
          <w:b/>
          <w:bCs/>
          <w:sz w:val="20"/>
        </w:rPr>
        <w:t xml:space="preserve">(a newly formed company to be indirectly owned by (i) </w:t>
      </w:r>
      <w:r>
        <w:rPr>
          <w:rFonts w:ascii="Arial" w:hAnsi="Arial" w:cs="Arial"/>
          <w:b/>
          <w:bCs/>
          <w:sz w:val="20"/>
        </w:rPr>
        <w:t>EQT</w:t>
      </w:r>
      <w:r w:rsidRPr="003A4E5C">
        <w:rPr>
          <w:rFonts w:ascii="Arial" w:hAnsi="Arial" w:cs="Arial"/>
          <w:b/>
          <w:bCs/>
          <w:sz w:val="20"/>
        </w:rPr>
        <w:t xml:space="preserve"> X EUR SCSp and </w:t>
      </w:r>
      <w:r>
        <w:rPr>
          <w:rFonts w:ascii="Arial" w:hAnsi="Arial" w:cs="Arial"/>
          <w:b/>
          <w:bCs/>
          <w:sz w:val="20"/>
        </w:rPr>
        <w:t>EQT</w:t>
      </w:r>
      <w:r w:rsidRPr="003A4E5C">
        <w:rPr>
          <w:rFonts w:ascii="Arial" w:hAnsi="Arial" w:cs="Arial"/>
          <w:b/>
          <w:bCs/>
          <w:sz w:val="20"/>
        </w:rPr>
        <w:t xml:space="preserve"> X USD SCSp, each acting through its manager (</w:t>
      </w:r>
      <w:r w:rsidRPr="003A4E5C">
        <w:rPr>
          <w:rFonts w:ascii="Arial" w:hAnsi="Arial" w:cs="Arial"/>
          <w:b/>
          <w:bCs/>
          <w:i/>
          <w:sz w:val="20"/>
        </w:rPr>
        <w:t>gérant</w:t>
      </w:r>
      <w:r w:rsidRPr="003A4E5C">
        <w:rPr>
          <w:rFonts w:ascii="Arial" w:hAnsi="Arial" w:cs="Arial"/>
          <w:b/>
          <w:bCs/>
          <w:sz w:val="20"/>
        </w:rPr>
        <w:t xml:space="preserve">) </w:t>
      </w:r>
      <w:r>
        <w:rPr>
          <w:rFonts w:ascii="Arial" w:hAnsi="Arial" w:cs="Arial"/>
          <w:b/>
          <w:bCs/>
          <w:sz w:val="20"/>
        </w:rPr>
        <w:t>EQT</w:t>
      </w:r>
      <w:r w:rsidRPr="003A4E5C">
        <w:rPr>
          <w:rFonts w:ascii="Arial" w:hAnsi="Arial" w:cs="Arial"/>
          <w:b/>
          <w:bCs/>
          <w:sz w:val="20"/>
        </w:rPr>
        <w:t xml:space="preserve"> Fund Management S.à r.l., and (ii) </w:t>
      </w:r>
      <w:r>
        <w:rPr>
          <w:rFonts w:ascii="Arial" w:hAnsi="Arial" w:cs="Arial"/>
          <w:b/>
          <w:bCs/>
          <w:sz w:val="20"/>
        </w:rPr>
        <w:t>Luxinva S.A.</w:t>
      </w:r>
      <w:r w:rsidRPr="003A4E5C">
        <w:rPr>
          <w:rFonts w:ascii="Arial" w:hAnsi="Arial" w:cs="Arial"/>
          <w:b/>
          <w:bCs/>
          <w:sz w:val="20"/>
        </w:rPr>
        <w:t>)</w:t>
      </w:r>
    </w:p>
    <w:p w14:paraId="5374469C" w14:textId="6FC32F91" w:rsidR="007F6AEB" w:rsidRPr="00F71118" w:rsidRDefault="00C13717" w:rsidP="00F71118">
      <w:pPr>
        <w:pStyle w:val="AOA"/>
        <w:tabs>
          <w:tab w:val="clear" w:pos="709"/>
        </w:tabs>
        <w:spacing w:before="0" w:after="240" w:line="240" w:lineRule="auto"/>
        <w:ind w:left="0" w:firstLine="0"/>
        <w:jc w:val="center"/>
        <w:rPr>
          <w:rFonts w:ascii="Arial" w:hAnsi="Arial" w:cs="Arial"/>
          <w:b/>
          <w:bCs/>
          <w:sz w:val="20"/>
          <w:szCs w:val="20"/>
        </w:rPr>
      </w:pPr>
      <w:r w:rsidRPr="00F71118">
        <w:rPr>
          <w:rFonts w:ascii="Arial" w:hAnsi="Arial" w:cs="Arial"/>
          <w:b/>
          <w:sz w:val="20"/>
          <w:szCs w:val="20"/>
        </w:rPr>
        <w:br/>
      </w:r>
      <w:r w:rsidR="00570920">
        <w:rPr>
          <w:rFonts w:ascii="Arial" w:hAnsi="Arial" w:cs="Arial"/>
          <w:b/>
          <w:sz w:val="20"/>
          <w:szCs w:val="20"/>
        </w:rPr>
        <w:t>Scheme of Arrangement</w:t>
      </w:r>
      <w:r w:rsidR="002175B9">
        <w:rPr>
          <w:rFonts w:ascii="Arial" w:hAnsi="Arial" w:cs="Arial"/>
          <w:b/>
          <w:sz w:val="20"/>
          <w:szCs w:val="20"/>
        </w:rPr>
        <w:t xml:space="preserve"> becomes Effective</w:t>
      </w:r>
    </w:p>
    <w:p w14:paraId="58C7EBD5" w14:textId="77777777" w:rsidR="004C4499" w:rsidRDefault="00C13717" w:rsidP="004C4499">
      <w:pPr>
        <w:jc w:val="both"/>
        <w:rPr>
          <w:rFonts w:ascii="Arial" w:hAnsi="Arial"/>
          <w:sz w:val="20"/>
          <w:szCs w:val="20"/>
        </w:rPr>
      </w:pPr>
      <w:r w:rsidRPr="00A73A38">
        <w:rPr>
          <w:rFonts w:ascii="Arial" w:hAnsi="Arial"/>
          <w:sz w:val="20"/>
          <w:szCs w:val="20"/>
        </w:rPr>
        <w:t>On 2 June 2023, the boards of</w:t>
      </w:r>
      <w:r>
        <w:rPr>
          <w:rFonts w:ascii="Arial" w:hAnsi="Arial"/>
          <w:sz w:val="20"/>
          <w:szCs w:val="20"/>
        </w:rPr>
        <w:t xml:space="preserve"> directors of Dechra</w:t>
      </w:r>
      <w:r w:rsidRPr="00A73A38">
        <w:rPr>
          <w:rFonts w:ascii="Arial" w:hAnsi="Arial"/>
          <w:sz w:val="20"/>
          <w:szCs w:val="20"/>
        </w:rPr>
        <w:t xml:space="preserve"> and </w:t>
      </w:r>
      <w:r>
        <w:rPr>
          <w:rFonts w:ascii="Arial" w:hAnsi="Arial"/>
          <w:sz w:val="20"/>
          <w:szCs w:val="20"/>
        </w:rPr>
        <w:t>Bidco</w:t>
      </w:r>
      <w:r w:rsidRPr="00A73A38">
        <w:rPr>
          <w:rFonts w:ascii="Arial" w:hAnsi="Arial"/>
          <w:sz w:val="20"/>
          <w:szCs w:val="20"/>
        </w:rPr>
        <w:t xml:space="preserve"> announced they had reached agreement on the terms and conditions of a recommended cash acquisition by Bidco of the entire issued, and to be issued, </w:t>
      </w:r>
      <w:r>
        <w:rPr>
          <w:rFonts w:ascii="Arial" w:hAnsi="Arial"/>
          <w:sz w:val="20"/>
          <w:szCs w:val="20"/>
        </w:rPr>
        <w:t xml:space="preserve">ordinary </w:t>
      </w:r>
      <w:r w:rsidRPr="00A73A38">
        <w:rPr>
          <w:rFonts w:ascii="Arial" w:hAnsi="Arial"/>
          <w:sz w:val="20"/>
          <w:szCs w:val="20"/>
        </w:rPr>
        <w:t xml:space="preserve">share capital of </w:t>
      </w:r>
      <w:r>
        <w:rPr>
          <w:rFonts w:ascii="Arial" w:hAnsi="Arial"/>
          <w:sz w:val="20"/>
          <w:szCs w:val="20"/>
        </w:rPr>
        <w:t>Dechra</w:t>
      </w:r>
      <w:r w:rsidRPr="00A73A38">
        <w:rPr>
          <w:rFonts w:ascii="Arial" w:hAnsi="Arial"/>
          <w:sz w:val="20"/>
          <w:szCs w:val="20"/>
        </w:rPr>
        <w:t xml:space="preserve"> (the “</w:t>
      </w:r>
      <w:r w:rsidRPr="00A73A38">
        <w:rPr>
          <w:rFonts w:ascii="Arial" w:hAnsi="Arial"/>
          <w:b/>
          <w:bCs/>
          <w:sz w:val="20"/>
          <w:szCs w:val="20"/>
        </w:rPr>
        <w:t>Acquisition</w:t>
      </w:r>
      <w:r w:rsidRPr="00A73A38">
        <w:rPr>
          <w:rFonts w:ascii="Arial" w:hAnsi="Arial"/>
          <w:sz w:val="20"/>
          <w:szCs w:val="20"/>
        </w:rPr>
        <w:t xml:space="preserve">”). The Acquisition </w:t>
      </w:r>
      <w:r>
        <w:rPr>
          <w:rFonts w:ascii="Arial" w:hAnsi="Arial"/>
          <w:sz w:val="20"/>
          <w:szCs w:val="20"/>
        </w:rPr>
        <w:t>is being implemented</w:t>
      </w:r>
      <w:r w:rsidRPr="00A73A38">
        <w:rPr>
          <w:rFonts w:ascii="Arial" w:hAnsi="Arial"/>
          <w:sz w:val="20"/>
          <w:szCs w:val="20"/>
        </w:rPr>
        <w:t xml:space="preserve"> by means of a Court-sanctioned scheme of arrangement under Part 26 of the </w:t>
      </w:r>
      <w:r>
        <w:rPr>
          <w:rFonts w:ascii="Arial" w:hAnsi="Arial"/>
          <w:sz w:val="20"/>
          <w:szCs w:val="20"/>
        </w:rPr>
        <w:t xml:space="preserve">Companies Act </w:t>
      </w:r>
      <w:r w:rsidRPr="00A73A38">
        <w:rPr>
          <w:rFonts w:ascii="Arial" w:hAnsi="Arial"/>
          <w:sz w:val="20"/>
          <w:szCs w:val="20"/>
        </w:rPr>
        <w:t xml:space="preserve">2006 </w:t>
      </w:r>
      <w:r>
        <w:rPr>
          <w:rFonts w:ascii="Arial" w:hAnsi="Arial"/>
          <w:sz w:val="20"/>
          <w:szCs w:val="20"/>
        </w:rPr>
        <w:t>(the “</w:t>
      </w:r>
      <w:r w:rsidRPr="00B75AD6">
        <w:rPr>
          <w:rFonts w:ascii="Arial" w:hAnsi="Arial"/>
          <w:b/>
          <w:bCs/>
          <w:sz w:val="20"/>
          <w:szCs w:val="20"/>
        </w:rPr>
        <w:t>2006 Act</w:t>
      </w:r>
      <w:r>
        <w:rPr>
          <w:rFonts w:ascii="Arial" w:hAnsi="Arial"/>
          <w:sz w:val="20"/>
          <w:szCs w:val="20"/>
        </w:rPr>
        <w:t xml:space="preserve">”) </w:t>
      </w:r>
      <w:r w:rsidRPr="00A73A38">
        <w:rPr>
          <w:rFonts w:ascii="Arial" w:hAnsi="Arial"/>
          <w:sz w:val="20"/>
          <w:szCs w:val="20"/>
        </w:rPr>
        <w:t>(the “</w:t>
      </w:r>
      <w:r w:rsidRPr="00A73A38">
        <w:rPr>
          <w:rFonts w:ascii="Arial" w:hAnsi="Arial"/>
          <w:b/>
          <w:bCs/>
          <w:sz w:val="20"/>
          <w:szCs w:val="20"/>
        </w:rPr>
        <w:t>Scheme</w:t>
      </w:r>
      <w:r w:rsidRPr="00A73A38">
        <w:rPr>
          <w:rFonts w:ascii="Arial" w:hAnsi="Arial"/>
          <w:sz w:val="20"/>
          <w:szCs w:val="20"/>
        </w:rPr>
        <w:t>”).</w:t>
      </w:r>
      <w:r w:rsidRPr="00F71118">
        <w:rPr>
          <w:rFonts w:ascii="Arial" w:hAnsi="Arial"/>
          <w:sz w:val="20"/>
          <w:szCs w:val="20"/>
        </w:rPr>
        <w:t xml:space="preserve"> </w:t>
      </w:r>
      <w:r>
        <w:rPr>
          <w:rFonts w:ascii="Arial" w:hAnsi="Arial"/>
          <w:sz w:val="20"/>
          <w:szCs w:val="20"/>
        </w:rPr>
        <w:t xml:space="preserve"> </w:t>
      </w:r>
    </w:p>
    <w:p w14:paraId="08AF35E8" w14:textId="77777777" w:rsidR="004C4499" w:rsidRPr="00F71118" w:rsidRDefault="004C4499" w:rsidP="004C4499">
      <w:pPr>
        <w:jc w:val="both"/>
        <w:rPr>
          <w:rFonts w:ascii="Arial" w:hAnsi="Arial"/>
          <w:sz w:val="20"/>
          <w:szCs w:val="20"/>
        </w:rPr>
      </w:pPr>
    </w:p>
    <w:p w14:paraId="44B3AB7F" w14:textId="513D6989" w:rsidR="004C4499" w:rsidRDefault="00C13717" w:rsidP="004C4499">
      <w:pPr>
        <w:jc w:val="both"/>
        <w:rPr>
          <w:rFonts w:ascii="Arial" w:hAnsi="Arial"/>
          <w:sz w:val="20"/>
          <w:szCs w:val="20"/>
        </w:rPr>
      </w:pPr>
      <w:r w:rsidRPr="00F71118">
        <w:rPr>
          <w:rFonts w:ascii="Arial" w:hAnsi="Arial"/>
          <w:sz w:val="20"/>
          <w:szCs w:val="20"/>
        </w:rPr>
        <w:t xml:space="preserve">The circular in relation to the Scheme, including </w:t>
      </w:r>
      <w:r>
        <w:rPr>
          <w:rFonts w:ascii="Arial" w:hAnsi="Arial"/>
          <w:sz w:val="20"/>
          <w:szCs w:val="20"/>
        </w:rPr>
        <w:t>full details of the Acquisition</w:t>
      </w:r>
      <w:r w:rsidR="003117D3">
        <w:rPr>
          <w:rFonts w:ascii="Arial" w:hAnsi="Arial"/>
          <w:sz w:val="20"/>
          <w:szCs w:val="20"/>
        </w:rPr>
        <w:t>,</w:t>
      </w:r>
      <w:r>
        <w:rPr>
          <w:rFonts w:ascii="Arial" w:hAnsi="Arial"/>
          <w:sz w:val="20"/>
          <w:szCs w:val="20"/>
        </w:rPr>
        <w:t xml:space="preserve"> </w:t>
      </w:r>
      <w:r w:rsidRPr="00F71118">
        <w:rPr>
          <w:rFonts w:ascii="Arial" w:hAnsi="Arial"/>
          <w:sz w:val="20"/>
          <w:szCs w:val="20"/>
        </w:rPr>
        <w:t xml:space="preserve">was published on </w:t>
      </w:r>
      <w:r>
        <w:rPr>
          <w:rFonts w:ascii="Arial" w:hAnsi="Arial"/>
          <w:sz w:val="20"/>
          <w:szCs w:val="20"/>
        </w:rPr>
        <w:t>26 June 2023</w:t>
      </w:r>
      <w:r w:rsidRPr="00F71118">
        <w:rPr>
          <w:rFonts w:ascii="Arial" w:hAnsi="Arial"/>
          <w:sz w:val="20"/>
          <w:szCs w:val="20"/>
        </w:rPr>
        <w:t xml:space="preserve"> (the “</w:t>
      </w:r>
      <w:r w:rsidRPr="00F71118">
        <w:rPr>
          <w:rFonts w:ascii="Arial" w:hAnsi="Arial"/>
          <w:b/>
          <w:sz w:val="20"/>
          <w:szCs w:val="20"/>
        </w:rPr>
        <w:t>Scheme Document</w:t>
      </w:r>
      <w:r w:rsidRPr="00F71118">
        <w:rPr>
          <w:rFonts w:ascii="Arial" w:hAnsi="Arial"/>
          <w:sz w:val="20"/>
          <w:szCs w:val="20"/>
        </w:rPr>
        <w:t xml:space="preserve">”). Capitalised terms used </w:t>
      </w:r>
      <w:r w:rsidR="00D71CC3">
        <w:rPr>
          <w:rFonts w:ascii="Arial" w:hAnsi="Arial"/>
          <w:sz w:val="20"/>
          <w:szCs w:val="20"/>
        </w:rPr>
        <w:t xml:space="preserve">but not otherwise defined </w:t>
      </w:r>
      <w:r w:rsidRPr="00F71118">
        <w:rPr>
          <w:rFonts w:ascii="Arial" w:hAnsi="Arial"/>
          <w:sz w:val="20"/>
          <w:szCs w:val="20"/>
        </w:rPr>
        <w:t>in this announcement have the meanings set out in the Scheme Document.</w:t>
      </w:r>
      <w:r w:rsidR="00D71CC3">
        <w:rPr>
          <w:rFonts w:ascii="Arial" w:hAnsi="Arial"/>
          <w:sz w:val="20"/>
          <w:szCs w:val="20"/>
        </w:rPr>
        <w:t xml:space="preserve"> All references to times in this announcement are to London, United Kingdom times, unless otherwise stated.</w:t>
      </w:r>
    </w:p>
    <w:p w14:paraId="4FB27556" w14:textId="0C4C504B" w:rsidR="00160498" w:rsidRDefault="00160498" w:rsidP="00F71118">
      <w:pPr>
        <w:jc w:val="both"/>
        <w:rPr>
          <w:rFonts w:ascii="Arial" w:hAnsi="Arial"/>
          <w:sz w:val="20"/>
          <w:szCs w:val="20"/>
        </w:rPr>
      </w:pPr>
    </w:p>
    <w:p w14:paraId="5E7B96ED" w14:textId="65B41191" w:rsidR="004C4499" w:rsidRDefault="00C13717" w:rsidP="004C4499">
      <w:pPr>
        <w:jc w:val="both"/>
        <w:rPr>
          <w:rFonts w:ascii="Arial" w:hAnsi="Arial"/>
          <w:sz w:val="20"/>
          <w:szCs w:val="20"/>
        </w:rPr>
      </w:pPr>
      <w:bookmarkStart w:id="0" w:name="_Hlk151384719"/>
      <w:r>
        <w:rPr>
          <w:rFonts w:ascii="Arial" w:hAnsi="Arial"/>
          <w:sz w:val="20"/>
          <w:szCs w:val="20"/>
        </w:rPr>
        <w:t>On 20 July</w:t>
      </w:r>
      <w:r w:rsidR="00DE6ADE">
        <w:rPr>
          <w:rFonts w:ascii="Arial" w:hAnsi="Arial"/>
          <w:sz w:val="20"/>
          <w:szCs w:val="20"/>
        </w:rPr>
        <w:t xml:space="preserve"> 2023</w:t>
      </w:r>
      <w:r>
        <w:rPr>
          <w:rFonts w:ascii="Arial" w:hAnsi="Arial"/>
          <w:sz w:val="20"/>
          <w:szCs w:val="20"/>
        </w:rPr>
        <w:t xml:space="preserve">, </w:t>
      </w:r>
      <w:r w:rsidRPr="00987C17">
        <w:rPr>
          <w:rFonts w:ascii="Arial" w:hAnsi="Arial"/>
          <w:sz w:val="20"/>
          <w:szCs w:val="20"/>
        </w:rPr>
        <w:t>the requisite majority of Scheme Shareholders voted to approve the Scheme at the Court Meeting</w:t>
      </w:r>
      <w:r>
        <w:rPr>
          <w:rFonts w:ascii="Arial" w:hAnsi="Arial"/>
          <w:sz w:val="20"/>
          <w:szCs w:val="20"/>
        </w:rPr>
        <w:t xml:space="preserve"> and </w:t>
      </w:r>
      <w:r w:rsidRPr="00987C17">
        <w:rPr>
          <w:rFonts w:ascii="Arial" w:hAnsi="Arial"/>
          <w:sz w:val="20"/>
          <w:szCs w:val="20"/>
        </w:rPr>
        <w:t xml:space="preserve">the requisite majority of </w:t>
      </w:r>
      <w:r>
        <w:rPr>
          <w:rFonts w:ascii="Arial" w:hAnsi="Arial"/>
          <w:sz w:val="20"/>
          <w:szCs w:val="20"/>
        </w:rPr>
        <w:t>Dechra</w:t>
      </w:r>
      <w:r w:rsidRPr="00987C17">
        <w:rPr>
          <w:rFonts w:ascii="Arial" w:hAnsi="Arial"/>
          <w:sz w:val="20"/>
          <w:szCs w:val="20"/>
        </w:rPr>
        <w:t xml:space="preserve"> Shareholders voted to pass the Special Resolution to implement the Scheme, including the amendment of </w:t>
      </w:r>
      <w:r>
        <w:rPr>
          <w:rFonts w:ascii="Arial" w:hAnsi="Arial"/>
          <w:sz w:val="20"/>
          <w:szCs w:val="20"/>
        </w:rPr>
        <w:t>Dechra</w:t>
      </w:r>
      <w:r w:rsidRPr="00987C17">
        <w:rPr>
          <w:rFonts w:ascii="Arial" w:hAnsi="Arial"/>
          <w:sz w:val="20"/>
          <w:szCs w:val="20"/>
        </w:rPr>
        <w:t>’s articles of association, at the General Meeting.</w:t>
      </w:r>
    </w:p>
    <w:bookmarkEnd w:id="0"/>
    <w:p w14:paraId="1006CAEA" w14:textId="6FA33564" w:rsidR="00160498" w:rsidRDefault="00160498" w:rsidP="00F71118">
      <w:pPr>
        <w:jc w:val="both"/>
        <w:rPr>
          <w:rFonts w:ascii="Arial" w:hAnsi="Arial"/>
          <w:sz w:val="20"/>
          <w:szCs w:val="20"/>
        </w:rPr>
      </w:pPr>
    </w:p>
    <w:p w14:paraId="4B97A08D" w14:textId="189C9BBB" w:rsidR="00160498" w:rsidRDefault="00C13717" w:rsidP="00160498">
      <w:pPr>
        <w:jc w:val="both"/>
        <w:rPr>
          <w:rFonts w:ascii="Arial" w:hAnsi="Arial"/>
          <w:sz w:val="20"/>
          <w:szCs w:val="20"/>
        </w:rPr>
      </w:pPr>
      <w:r>
        <w:rPr>
          <w:rFonts w:ascii="Arial" w:hAnsi="Arial"/>
          <w:sz w:val="20"/>
          <w:szCs w:val="20"/>
        </w:rPr>
        <w:t>On 12 January</w:t>
      </w:r>
      <w:r w:rsidR="00DE6ADE">
        <w:rPr>
          <w:rFonts w:ascii="Arial" w:hAnsi="Arial"/>
          <w:sz w:val="20"/>
          <w:szCs w:val="20"/>
        </w:rPr>
        <w:t xml:space="preserve"> </w:t>
      </w:r>
      <w:r>
        <w:rPr>
          <w:rFonts w:ascii="Arial" w:hAnsi="Arial"/>
          <w:sz w:val="20"/>
          <w:szCs w:val="20"/>
        </w:rPr>
        <w:t xml:space="preserve">2024, </w:t>
      </w:r>
      <w:r w:rsidR="004C4499">
        <w:rPr>
          <w:rFonts w:ascii="Arial" w:hAnsi="Arial"/>
          <w:sz w:val="20"/>
          <w:szCs w:val="20"/>
        </w:rPr>
        <w:t>Dechra</w:t>
      </w:r>
      <w:r>
        <w:rPr>
          <w:rFonts w:ascii="Arial" w:hAnsi="Arial"/>
          <w:sz w:val="20"/>
          <w:szCs w:val="20"/>
        </w:rPr>
        <w:t xml:space="preserve"> announced that the Court had sanctioned the Scheme at the Sanction Hearing held earlier on the same date. </w:t>
      </w:r>
    </w:p>
    <w:p w14:paraId="567C1B3D" w14:textId="77777777" w:rsidR="008D5943" w:rsidRPr="00F71118" w:rsidRDefault="008D5943" w:rsidP="00F71118">
      <w:pPr>
        <w:jc w:val="both"/>
        <w:rPr>
          <w:rFonts w:ascii="Arial" w:hAnsi="Arial"/>
          <w:sz w:val="20"/>
          <w:szCs w:val="20"/>
        </w:rPr>
      </w:pPr>
    </w:p>
    <w:p w14:paraId="76BBF862" w14:textId="1F8AF0BC" w:rsidR="00160498" w:rsidRDefault="00C13717" w:rsidP="00160498">
      <w:pPr>
        <w:jc w:val="both"/>
        <w:rPr>
          <w:rFonts w:ascii="Arial" w:hAnsi="Arial"/>
          <w:sz w:val="20"/>
          <w:szCs w:val="20"/>
        </w:rPr>
      </w:pPr>
      <w:bookmarkStart w:id="1" w:name="_Hlk150346876"/>
      <w:r>
        <w:rPr>
          <w:rFonts w:ascii="Arial" w:hAnsi="Arial"/>
          <w:sz w:val="20"/>
          <w:szCs w:val="20"/>
        </w:rPr>
        <w:t>Dechra</w:t>
      </w:r>
      <w:r w:rsidR="007C5038">
        <w:rPr>
          <w:rFonts w:ascii="Arial" w:hAnsi="Arial"/>
          <w:sz w:val="20"/>
          <w:szCs w:val="20"/>
        </w:rPr>
        <w:t xml:space="preserve"> and Bidco</w:t>
      </w:r>
      <w:r w:rsidR="00F71118" w:rsidRPr="00F71118">
        <w:rPr>
          <w:rFonts w:ascii="Arial" w:hAnsi="Arial"/>
          <w:sz w:val="20"/>
          <w:szCs w:val="20"/>
        </w:rPr>
        <w:t xml:space="preserve"> </w:t>
      </w:r>
      <w:r w:rsidR="007C5038">
        <w:rPr>
          <w:rFonts w:ascii="Arial" w:hAnsi="Arial"/>
          <w:sz w:val="20"/>
          <w:szCs w:val="20"/>
        </w:rPr>
        <w:t>are</w:t>
      </w:r>
      <w:r w:rsidR="00F71118" w:rsidRPr="00F71118">
        <w:rPr>
          <w:rFonts w:ascii="Arial" w:hAnsi="Arial"/>
          <w:sz w:val="20"/>
          <w:szCs w:val="20"/>
        </w:rPr>
        <w:t xml:space="preserve"> pleased to announce that</w:t>
      </w:r>
      <w:r>
        <w:rPr>
          <w:rFonts w:ascii="Arial" w:hAnsi="Arial"/>
          <w:sz w:val="20"/>
          <w:szCs w:val="20"/>
        </w:rPr>
        <w:t>, following delivery of</w:t>
      </w:r>
      <w:r w:rsidR="00570920">
        <w:rPr>
          <w:rFonts w:ascii="Arial" w:hAnsi="Arial"/>
          <w:sz w:val="20"/>
          <w:szCs w:val="20"/>
        </w:rPr>
        <w:t xml:space="preserve"> </w:t>
      </w:r>
      <w:r>
        <w:rPr>
          <w:rFonts w:ascii="Arial" w:hAnsi="Arial"/>
          <w:sz w:val="20"/>
          <w:szCs w:val="20"/>
        </w:rPr>
        <w:t xml:space="preserve">a copy of the Court Order </w:t>
      </w:r>
      <w:r w:rsidR="003117D3">
        <w:rPr>
          <w:rFonts w:ascii="Arial" w:hAnsi="Arial"/>
          <w:sz w:val="20"/>
          <w:szCs w:val="20"/>
        </w:rPr>
        <w:t xml:space="preserve">(together with a copy of the Scheme and all documents required to be annexed thereto) </w:t>
      </w:r>
      <w:r>
        <w:rPr>
          <w:rFonts w:ascii="Arial" w:hAnsi="Arial"/>
          <w:sz w:val="20"/>
          <w:szCs w:val="20"/>
        </w:rPr>
        <w:t xml:space="preserve">to the Registrar of Companies, the Scheme has </w:t>
      </w:r>
      <w:r w:rsidR="009E3237">
        <w:rPr>
          <w:rFonts w:ascii="Arial" w:hAnsi="Arial"/>
          <w:sz w:val="20"/>
          <w:szCs w:val="20"/>
        </w:rPr>
        <w:t xml:space="preserve">today </w:t>
      </w:r>
      <w:r w:rsidRPr="00160498">
        <w:rPr>
          <w:rFonts w:ascii="Arial" w:hAnsi="Arial"/>
          <w:sz w:val="20"/>
          <w:szCs w:val="20"/>
        </w:rPr>
        <w:t xml:space="preserve">become </w:t>
      </w:r>
      <w:r w:rsidR="00D71CC3">
        <w:rPr>
          <w:rFonts w:ascii="Arial" w:hAnsi="Arial"/>
          <w:sz w:val="20"/>
          <w:szCs w:val="20"/>
        </w:rPr>
        <w:t>E</w:t>
      </w:r>
      <w:r w:rsidRPr="00160498">
        <w:rPr>
          <w:rFonts w:ascii="Arial" w:hAnsi="Arial"/>
          <w:sz w:val="20"/>
          <w:szCs w:val="20"/>
        </w:rPr>
        <w:t>ffective in accordance with</w:t>
      </w:r>
      <w:r>
        <w:rPr>
          <w:rFonts w:ascii="Arial" w:hAnsi="Arial"/>
          <w:sz w:val="20"/>
          <w:szCs w:val="20"/>
        </w:rPr>
        <w:t xml:space="preserve"> </w:t>
      </w:r>
      <w:r w:rsidRPr="00160498">
        <w:rPr>
          <w:rFonts w:ascii="Arial" w:hAnsi="Arial"/>
          <w:sz w:val="20"/>
          <w:szCs w:val="20"/>
        </w:rPr>
        <w:t xml:space="preserve">its terms and, pursuant to the Scheme, the entire issued share capital of </w:t>
      </w:r>
      <w:r>
        <w:rPr>
          <w:rFonts w:ascii="Arial" w:hAnsi="Arial"/>
          <w:sz w:val="20"/>
          <w:szCs w:val="20"/>
        </w:rPr>
        <w:t xml:space="preserve">Dechra </w:t>
      </w:r>
      <w:r w:rsidRPr="00160498">
        <w:rPr>
          <w:rFonts w:ascii="Arial" w:hAnsi="Arial"/>
          <w:sz w:val="20"/>
          <w:szCs w:val="20"/>
        </w:rPr>
        <w:t>is now owned by Bidco.</w:t>
      </w:r>
    </w:p>
    <w:p w14:paraId="16C84842" w14:textId="77777777" w:rsidR="00160498" w:rsidRDefault="00160498" w:rsidP="00F71118">
      <w:pPr>
        <w:jc w:val="both"/>
        <w:rPr>
          <w:rFonts w:ascii="Arial" w:hAnsi="Arial"/>
          <w:sz w:val="20"/>
          <w:szCs w:val="20"/>
        </w:rPr>
      </w:pPr>
    </w:p>
    <w:p w14:paraId="725C9699" w14:textId="0997653F" w:rsidR="00607FB7" w:rsidRPr="00607FB7" w:rsidRDefault="00C13717" w:rsidP="00570920">
      <w:pPr>
        <w:jc w:val="both"/>
        <w:rPr>
          <w:rFonts w:ascii="Arial" w:hAnsi="Arial"/>
          <w:b/>
          <w:bCs/>
          <w:sz w:val="20"/>
          <w:szCs w:val="20"/>
        </w:rPr>
      </w:pPr>
      <w:r w:rsidRPr="00607FB7">
        <w:rPr>
          <w:rFonts w:ascii="Arial" w:hAnsi="Arial"/>
          <w:b/>
          <w:bCs/>
          <w:sz w:val="20"/>
          <w:szCs w:val="20"/>
        </w:rPr>
        <w:t xml:space="preserve">Suspension and cancellation of </w:t>
      </w:r>
      <w:r w:rsidR="002175B9">
        <w:rPr>
          <w:rFonts w:ascii="Arial" w:hAnsi="Arial"/>
          <w:b/>
          <w:bCs/>
          <w:sz w:val="20"/>
          <w:szCs w:val="20"/>
        </w:rPr>
        <w:t xml:space="preserve">admission </w:t>
      </w:r>
      <w:r w:rsidR="002D5F37">
        <w:rPr>
          <w:rFonts w:ascii="Arial" w:hAnsi="Arial"/>
          <w:b/>
          <w:bCs/>
          <w:sz w:val="20"/>
          <w:szCs w:val="20"/>
        </w:rPr>
        <w:t xml:space="preserve">to </w:t>
      </w:r>
      <w:r w:rsidRPr="00607FB7">
        <w:rPr>
          <w:rFonts w:ascii="Arial" w:hAnsi="Arial"/>
          <w:b/>
          <w:bCs/>
          <w:sz w:val="20"/>
          <w:szCs w:val="20"/>
        </w:rPr>
        <w:t>listing and trading</w:t>
      </w:r>
      <w:r w:rsidR="002175B9">
        <w:rPr>
          <w:rFonts w:ascii="Arial" w:hAnsi="Arial"/>
          <w:b/>
          <w:bCs/>
          <w:sz w:val="20"/>
          <w:szCs w:val="20"/>
        </w:rPr>
        <w:t xml:space="preserve"> of </w:t>
      </w:r>
      <w:r w:rsidR="007966FA">
        <w:rPr>
          <w:rFonts w:ascii="Arial" w:hAnsi="Arial"/>
          <w:b/>
          <w:bCs/>
          <w:sz w:val="20"/>
          <w:szCs w:val="20"/>
        </w:rPr>
        <w:t>Dechra</w:t>
      </w:r>
      <w:r w:rsidR="002175B9">
        <w:rPr>
          <w:rFonts w:ascii="Arial" w:hAnsi="Arial"/>
          <w:b/>
          <w:bCs/>
          <w:sz w:val="20"/>
          <w:szCs w:val="20"/>
        </w:rPr>
        <w:t xml:space="preserve"> Shares</w:t>
      </w:r>
    </w:p>
    <w:p w14:paraId="582F99DF" w14:textId="77777777" w:rsidR="00607FB7" w:rsidRDefault="00607FB7" w:rsidP="00570920">
      <w:pPr>
        <w:jc w:val="both"/>
        <w:rPr>
          <w:rFonts w:ascii="Arial" w:hAnsi="Arial"/>
          <w:sz w:val="20"/>
          <w:szCs w:val="20"/>
        </w:rPr>
      </w:pPr>
    </w:p>
    <w:p w14:paraId="1AF6B77A" w14:textId="304219D0" w:rsidR="00607FB7" w:rsidRDefault="00C13717" w:rsidP="00570920">
      <w:pPr>
        <w:jc w:val="both"/>
        <w:rPr>
          <w:rFonts w:ascii="Arial" w:hAnsi="Arial"/>
          <w:sz w:val="20"/>
          <w:szCs w:val="20"/>
        </w:rPr>
      </w:pPr>
      <w:bookmarkStart w:id="2" w:name="_Hlk151570675"/>
      <w:r>
        <w:rPr>
          <w:rFonts w:ascii="Arial" w:hAnsi="Arial"/>
          <w:sz w:val="20"/>
          <w:szCs w:val="20"/>
        </w:rPr>
        <w:t xml:space="preserve">The </w:t>
      </w:r>
      <w:r w:rsidRPr="00607FB7">
        <w:rPr>
          <w:rFonts w:ascii="Arial" w:hAnsi="Arial"/>
          <w:sz w:val="20"/>
          <w:szCs w:val="20"/>
        </w:rPr>
        <w:t xml:space="preserve">admission of the </w:t>
      </w:r>
      <w:r w:rsidR="007966FA">
        <w:rPr>
          <w:rFonts w:ascii="Arial" w:hAnsi="Arial"/>
          <w:sz w:val="20"/>
          <w:szCs w:val="20"/>
        </w:rPr>
        <w:t>Dechra</w:t>
      </w:r>
      <w:r>
        <w:rPr>
          <w:rFonts w:ascii="Arial" w:hAnsi="Arial"/>
          <w:sz w:val="20"/>
          <w:szCs w:val="20"/>
        </w:rPr>
        <w:t xml:space="preserve"> Shares</w:t>
      </w:r>
      <w:r w:rsidRPr="00607FB7">
        <w:rPr>
          <w:rFonts w:ascii="Arial" w:hAnsi="Arial"/>
          <w:sz w:val="20"/>
          <w:szCs w:val="20"/>
        </w:rPr>
        <w:t xml:space="preserve"> to the premium listing segment of the Financial Conduct Authority’s Official List (the “</w:t>
      </w:r>
      <w:r w:rsidRPr="00607FB7">
        <w:rPr>
          <w:rFonts w:ascii="Arial" w:hAnsi="Arial"/>
          <w:b/>
          <w:bCs/>
          <w:sz w:val="20"/>
          <w:szCs w:val="20"/>
        </w:rPr>
        <w:t>Official List</w:t>
      </w:r>
      <w:r w:rsidRPr="00607FB7">
        <w:rPr>
          <w:rFonts w:ascii="Arial" w:hAnsi="Arial"/>
          <w:sz w:val="20"/>
          <w:szCs w:val="20"/>
        </w:rPr>
        <w:t xml:space="preserve">”) and </w:t>
      </w:r>
      <w:r w:rsidR="007671E8">
        <w:rPr>
          <w:rFonts w:ascii="Arial" w:hAnsi="Arial"/>
          <w:sz w:val="20"/>
          <w:szCs w:val="20"/>
        </w:rPr>
        <w:t xml:space="preserve">the admission of the </w:t>
      </w:r>
      <w:r w:rsidR="007966FA">
        <w:rPr>
          <w:rFonts w:ascii="Arial" w:hAnsi="Arial"/>
          <w:sz w:val="20"/>
          <w:szCs w:val="20"/>
        </w:rPr>
        <w:t>Dechra</w:t>
      </w:r>
      <w:r w:rsidR="007671E8">
        <w:rPr>
          <w:rFonts w:ascii="Arial" w:hAnsi="Arial"/>
          <w:sz w:val="20"/>
          <w:szCs w:val="20"/>
        </w:rPr>
        <w:t xml:space="preserve"> Shares </w:t>
      </w:r>
      <w:r w:rsidRPr="00607FB7">
        <w:rPr>
          <w:rFonts w:ascii="Arial" w:hAnsi="Arial"/>
          <w:sz w:val="20"/>
          <w:szCs w:val="20"/>
        </w:rPr>
        <w:t>to trading on the London Stock Exchange plc’s main market for listed securities (the “</w:t>
      </w:r>
      <w:r w:rsidRPr="00607FB7">
        <w:rPr>
          <w:rFonts w:ascii="Arial" w:hAnsi="Arial"/>
          <w:b/>
          <w:bCs/>
          <w:sz w:val="20"/>
          <w:szCs w:val="20"/>
        </w:rPr>
        <w:t>Main Market</w:t>
      </w:r>
      <w:r w:rsidRPr="00607FB7">
        <w:rPr>
          <w:rFonts w:ascii="Arial" w:hAnsi="Arial"/>
          <w:sz w:val="20"/>
          <w:szCs w:val="20"/>
        </w:rPr>
        <w:t>”)</w:t>
      </w:r>
      <w:r w:rsidR="003117D3">
        <w:rPr>
          <w:rFonts w:ascii="Arial" w:hAnsi="Arial"/>
          <w:sz w:val="20"/>
          <w:szCs w:val="20"/>
        </w:rPr>
        <w:t>, and therefore dealings in Dechra Shares,</w:t>
      </w:r>
      <w:r>
        <w:rPr>
          <w:rFonts w:ascii="Arial" w:hAnsi="Arial"/>
          <w:sz w:val="20"/>
          <w:szCs w:val="20"/>
        </w:rPr>
        <w:t xml:space="preserve"> were suspended with effect from 7:30 a.m. this morning.</w:t>
      </w:r>
      <w:r w:rsidR="003117D3">
        <w:rPr>
          <w:rFonts w:ascii="Arial" w:hAnsi="Arial"/>
          <w:sz w:val="20"/>
          <w:szCs w:val="20"/>
        </w:rPr>
        <w:t xml:space="preserve"> As a result of the Scheme having become Effective, share certificates in respect of the Scheme Shares </w:t>
      </w:r>
      <w:r w:rsidR="002D5F37">
        <w:rPr>
          <w:rFonts w:ascii="Arial" w:hAnsi="Arial"/>
          <w:sz w:val="20"/>
          <w:szCs w:val="20"/>
        </w:rPr>
        <w:t xml:space="preserve">have ceased </w:t>
      </w:r>
      <w:r w:rsidR="003117D3">
        <w:rPr>
          <w:rFonts w:ascii="Arial" w:hAnsi="Arial"/>
          <w:sz w:val="20"/>
          <w:szCs w:val="20"/>
        </w:rPr>
        <w:t>to be valid documents of title and entitlements to Scheme Shares held in uncertificated form in CREST are being cancelled.</w:t>
      </w:r>
    </w:p>
    <w:bookmarkEnd w:id="2"/>
    <w:p w14:paraId="51548903" w14:textId="33190797" w:rsidR="00607FB7" w:rsidRDefault="00607FB7" w:rsidP="00570920">
      <w:pPr>
        <w:jc w:val="both"/>
        <w:rPr>
          <w:rFonts w:ascii="Arial" w:hAnsi="Arial"/>
          <w:sz w:val="20"/>
          <w:szCs w:val="20"/>
        </w:rPr>
      </w:pPr>
    </w:p>
    <w:p w14:paraId="6244FAFA" w14:textId="2268108C" w:rsidR="00607FB7" w:rsidRDefault="00C13717" w:rsidP="00570920">
      <w:pPr>
        <w:jc w:val="both"/>
        <w:rPr>
          <w:rFonts w:ascii="Arial" w:hAnsi="Arial"/>
          <w:sz w:val="20"/>
          <w:szCs w:val="20"/>
        </w:rPr>
      </w:pPr>
      <w:bookmarkStart w:id="3" w:name="_Hlk151570663"/>
      <w:r>
        <w:rPr>
          <w:rFonts w:ascii="Arial" w:hAnsi="Arial"/>
          <w:sz w:val="20"/>
          <w:szCs w:val="20"/>
        </w:rPr>
        <w:t xml:space="preserve">Applications have been made to </w:t>
      </w:r>
      <w:r w:rsidRPr="00607FB7">
        <w:rPr>
          <w:rFonts w:ascii="Arial" w:hAnsi="Arial"/>
          <w:sz w:val="20"/>
          <w:szCs w:val="20"/>
        </w:rPr>
        <w:t>the Financial Conduct Authority</w:t>
      </w:r>
      <w:r>
        <w:rPr>
          <w:rFonts w:ascii="Arial" w:hAnsi="Arial"/>
          <w:sz w:val="20"/>
          <w:szCs w:val="20"/>
        </w:rPr>
        <w:t xml:space="preserve"> and the London Stock Exchange </w:t>
      </w:r>
      <w:r w:rsidR="00765D39">
        <w:rPr>
          <w:rFonts w:ascii="Arial" w:hAnsi="Arial"/>
          <w:sz w:val="20"/>
          <w:szCs w:val="20"/>
        </w:rPr>
        <w:t xml:space="preserve">in relation to the </w:t>
      </w:r>
      <w:r w:rsidR="002D5F37">
        <w:rPr>
          <w:rFonts w:ascii="Arial" w:hAnsi="Arial"/>
          <w:sz w:val="20"/>
          <w:szCs w:val="20"/>
        </w:rPr>
        <w:t xml:space="preserve">cancellation of the </w:t>
      </w:r>
      <w:r w:rsidR="00765D39">
        <w:rPr>
          <w:rFonts w:ascii="Arial" w:hAnsi="Arial"/>
          <w:sz w:val="20"/>
          <w:szCs w:val="20"/>
        </w:rPr>
        <w:t xml:space="preserve">listing of the Dechra Shares from the Official List and </w:t>
      </w:r>
      <w:r>
        <w:rPr>
          <w:rFonts w:ascii="Arial" w:hAnsi="Arial"/>
          <w:sz w:val="20"/>
          <w:szCs w:val="20"/>
        </w:rPr>
        <w:t xml:space="preserve">for the </w:t>
      </w:r>
      <w:r w:rsidRPr="00607FB7">
        <w:rPr>
          <w:rFonts w:ascii="Arial" w:hAnsi="Arial"/>
          <w:sz w:val="20"/>
          <w:szCs w:val="20"/>
        </w:rPr>
        <w:lastRenderedPageBreak/>
        <w:t xml:space="preserve">cancellation of the admission </w:t>
      </w:r>
      <w:r w:rsidR="00765D39">
        <w:rPr>
          <w:rFonts w:ascii="Arial" w:hAnsi="Arial"/>
          <w:sz w:val="20"/>
          <w:szCs w:val="20"/>
        </w:rPr>
        <w:t xml:space="preserve">to trading </w:t>
      </w:r>
      <w:r w:rsidRPr="00607FB7">
        <w:rPr>
          <w:rFonts w:ascii="Arial" w:hAnsi="Arial"/>
          <w:sz w:val="20"/>
          <w:szCs w:val="20"/>
        </w:rPr>
        <w:t xml:space="preserve">of the </w:t>
      </w:r>
      <w:r w:rsidR="007966FA">
        <w:rPr>
          <w:rFonts w:ascii="Arial" w:hAnsi="Arial"/>
          <w:sz w:val="20"/>
          <w:szCs w:val="20"/>
        </w:rPr>
        <w:t>Dechra</w:t>
      </w:r>
      <w:r w:rsidRPr="00607FB7">
        <w:rPr>
          <w:rFonts w:ascii="Arial" w:hAnsi="Arial"/>
          <w:sz w:val="20"/>
          <w:szCs w:val="20"/>
        </w:rPr>
        <w:t xml:space="preserve"> Shares on the Main Market, </w:t>
      </w:r>
      <w:r>
        <w:rPr>
          <w:rFonts w:ascii="Arial" w:hAnsi="Arial"/>
          <w:sz w:val="20"/>
          <w:szCs w:val="20"/>
        </w:rPr>
        <w:t xml:space="preserve">both of which </w:t>
      </w:r>
      <w:r w:rsidR="007671E8">
        <w:rPr>
          <w:rFonts w:ascii="Arial" w:hAnsi="Arial"/>
          <w:sz w:val="20"/>
          <w:szCs w:val="20"/>
        </w:rPr>
        <w:t>are</w:t>
      </w:r>
      <w:r>
        <w:rPr>
          <w:rFonts w:ascii="Arial" w:hAnsi="Arial"/>
          <w:sz w:val="20"/>
          <w:szCs w:val="20"/>
        </w:rPr>
        <w:t xml:space="preserve"> expected to </w:t>
      </w:r>
      <w:r w:rsidRPr="00607FB7">
        <w:rPr>
          <w:rFonts w:ascii="Arial" w:hAnsi="Arial"/>
          <w:sz w:val="20"/>
          <w:szCs w:val="20"/>
        </w:rPr>
        <w:t xml:space="preserve">take effect </w:t>
      </w:r>
      <w:r>
        <w:rPr>
          <w:rFonts w:ascii="Arial" w:hAnsi="Arial"/>
          <w:sz w:val="20"/>
          <w:szCs w:val="20"/>
        </w:rPr>
        <w:t>by</w:t>
      </w:r>
      <w:r w:rsidRPr="00607FB7">
        <w:rPr>
          <w:rFonts w:ascii="Arial" w:hAnsi="Arial"/>
          <w:sz w:val="20"/>
          <w:szCs w:val="20"/>
        </w:rPr>
        <w:t xml:space="preserve"> </w:t>
      </w:r>
      <w:r>
        <w:rPr>
          <w:rFonts w:ascii="Arial" w:hAnsi="Arial"/>
          <w:sz w:val="20"/>
          <w:szCs w:val="20"/>
        </w:rPr>
        <w:t>7.3</w:t>
      </w:r>
      <w:r w:rsidRPr="00607FB7">
        <w:rPr>
          <w:rFonts w:ascii="Arial" w:hAnsi="Arial"/>
          <w:sz w:val="20"/>
          <w:szCs w:val="20"/>
        </w:rPr>
        <w:t xml:space="preserve">0 a.m. on </w:t>
      </w:r>
      <w:r>
        <w:rPr>
          <w:rFonts w:ascii="Arial" w:hAnsi="Arial"/>
          <w:sz w:val="20"/>
          <w:szCs w:val="20"/>
        </w:rPr>
        <w:t>17 January 2024</w:t>
      </w:r>
      <w:r w:rsidRPr="00607FB7">
        <w:rPr>
          <w:rFonts w:ascii="Arial" w:hAnsi="Arial"/>
          <w:sz w:val="20"/>
          <w:szCs w:val="20"/>
        </w:rPr>
        <w:t>.</w:t>
      </w:r>
    </w:p>
    <w:p w14:paraId="48F18725" w14:textId="77777777" w:rsidR="003117D3" w:rsidRDefault="003117D3" w:rsidP="00570920">
      <w:pPr>
        <w:jc w:val="both"/>
        <w:rPr>
          <w:rFonts w:ascii="Arial" w:hAnsi="Arial"/>
          <w:sz w:val="20"/>
          <w:szCs w:val="20"/>
        </w:rPr>
      </w:pPr>
    </w:p>
    <w:p w14:paraId="67938C62" w14:textId="189668CB" w:rsidR="00607FB7" w:rsidRDefault="00C13717" w:rsidP="00570920">
      <w:pPr>
        <w:jc w:val="both"/>
        <w:rPr>
          <w:rFonts w:ascii="Arial" w:hAnsi="Arial"/>
          <w:sz w:val="20"/>
          <w:szCs w:val="20"/>
        </w:rPr>
      </w:pPr>
      <w:r>
        <w:rPr>
          <w:rFonts w:ascii="Arial" w:hAnsi="Arial"/>
          <w:sz w:val="20"/>
          <w:szCs w:val="20"/>
        </w:rPr>
        <w:t>As a result of this announcement, Dechra is no longer in an “Offer Period” as defined in the Takeover Code and accordingly the dealing disclosure requirements previously notified to investors no longer apply.</w:t>
      </w:r>
      <w:bookmarkEnd w:id="3"/>
    </w:p>
    <w:p w14:paraId="64EB9EFE" w14:textId="77777777" w:rsidR="00607FB7" w:rsidRDefault="00607FB7" w:rsidP="00607FB7">
      <w:pPr>
        <w:jc w:val="both"/>
        <w:rPr>
          <w:rFonts w:ascii="Arial" w:hAnsi="Arial"/>
          <w:sz w:val="20"/>
          <w:szCs w:val="20"/>
        </w:rPr>
      </w:pPr>
    </w:p>
    <w:p w14:paraId="7FE6F43C" w14:textId="5BBD2C59" w:rsidR="009E3237" w:rsidRPr="009E3237" w:rsidRDefault="00C13717" w:rsidP="00607FB7">
      <w:pPr>
        <w:jc w:val="both"/>
        <w:rPr>
          <w:rFonts w:ascii="Arial" w:hAnsi="Arial"/>
          <w:b/>
          <w:bCs/>
          <w:sz w:val="20"/>
          <w:szCs w:val="20"/>
        </w:rPr>
      </w:pPr>
      <w:r>
        <w:rPr>
          <w:rFonts w:ascii="Arial" w:hAnsi="Arial"/>
          <w:b/>
          <w:bCs/>
          <w:sz w:val="20"/>
          <w:szCs w:val="20"/>
        </w:rPr>
        <w:t>Consideration and settlement</w:t>
      </w:r>
    </w:p>
    <w:p w14:paraId="323474C8" w14:textId="77777777" w:rsidR="009E3237" w:rsidRDefault="009E3237" w:rsidP="00607FB7">
      <w:pPr>
        <w:jc w:val="both"/>
        <w:rPr>
          <w:rFonts w:ascii="Arial" w:hAnsi="Arial"/>
          <w:sz w:val="20"/>
          <w:szCs w:val="20"/>
        </w:rPr>
      </w:pPr>
    </w:p>
    <w:p w14:paraId="1EF3EE92" w14:textId="6F059144" w:rsidR="00607FB7" w:rsidRDefault="00C13717" w:rsidP="00607FB7">
      <w:pPr>
        <w:jc w:val="both"/>
        <w:rPr>
          <w:rFonts w:ascii="Arial" w:hAnsi="Arial"/>
          <w:sz w:val="20"/>
          <w:szCs w:val="20"/>
        </w:rPr>
      </w:pPr>
      <w:r w:rsidRPr="00607FB7">
        <w:rPr>
          <w:rFonts w:ascii="Arial" w:hAnsi="Arial"/>
          <w:sz w:val="20"/>
          <w:szCs w:val="20"/>
        </w:rPr>
        <w:t xml:space="preserve">In accordance with the terms of the </w:t>
      </w:r>
      <w:r w:rsidR="00D71CC3">
        <w:rPr>
          <w:rFonts w:ascii="Arial" w:hAnsi="Arial"/>
          <w:sz w:val="20"/>
          <w:szCs w:val="20"/>
        </w:rPr>
        <w:t>Scheme</w:t>
      </w:r>
      <w:r w:rsidRPr="00607FB7">
        <w:rPr>
          <w:rFonts w:ascii="Arial" w:hAnsi="Arial"/>
          <w:sz w:val="20"/>
          <w:szCs w:val="20"/>
        </w:rPr>
        <w:t>, a Scheme Shareholder on the register of members of</w:t>
      </w:r>
      <w:r>
        <w:rPr>
          <w:rFonts w:ascii="Arial" w:hAnsi="Arial"/>
          <w:sz w:val="20"/>
          <w:szCs w:val="20"/>
        </w:rPr>
        <w:t xml:space="preserve"> </w:t>
      </w:r>
      <w:r w:rsidR="007966FA">
        <w:rPr>
          <w:rFonts w:ascii="Arial" w:hAnsi="Arial"/>
          <w:sz w:val="20"/>
          <w:szCs w:val="20"/>
        </w:rPr>
        <w:t>Dechra</w:t>
      </w:r>
      <w:r w:rsidRPr="00607FB7">
        <w:rPr>
          <w:rFonts w:ascii="Arial" w:hAnsi="Arial"/>
          <w:sz w:val="20"/>
          <w:szCs w:val="20"/>
        </w:rPr>
        <w:t xml:space="preserve"> at the Scheme Record </w:t>
      </w:r>
      <w:r w:rsidRPr="00C13717">
        <w:rPr>
          <w:rFonts w:ascii="Arial" w:hAnsi="Arial"/>
          <w:sz w:val="20"/>
          <w:szCs w:val="20"/>
        </w:rPr>
        <w:t xml:space="preserve">Time, being 6.00 p.m. on 15 January </w:t>
      </w:r>
      <w:r w:rsidR="00765D39" w:rsidRPr="00C13717">
        <w:rPr>
          <w:rFonts w:ascii="Arial" w:hAnsi="Arial"/>
          <w:sz w:val="20"/>
          <w:szCs w:val="20"/>
        </w:rPr>
        <w:t>2024</w:t>
      </w:r>
      <w:r w:rsidRPr="00C13717">
        <w:rPr>
          <w:rFonts w:ascii="Arial" w:hAnsi="Arial"/>
          <w:sz w:val="20"/>
          <w:szCs w:val="20"/>
        </w:rPr>
        <w:t xml:space="preserve">, will be entitled to receive </w:t>
      </w:r>
      <w:r w:rsidR="007966FA" w:rsidRPr="00C13717">
        <w:rPr>
          <w:rFonts w:ascii="Arial" w:hAnsi="Arial"/>
          <w:sz w:val="20"/>
          <w:szCs w:val="20"/>
        </w:rPr>
        <w:t>3,875</w:t>
      </w:r>
      <w:r w:rsidRPr="00C13717">
        <w:rPr>
          <w:rFonts w:ascii="Arial" w:hAnsi="Arial"/>
          <w:sz w:val="20"/>
          <w:szCs w:val="20"/>
        </w:rPr>
        <w:t xml:space="preserve"> pence in cash for each Scheme Share held</w:t>
      </w:r>
      <w:r w:rsidRPr="00607FB7">
        <w:rPr>
          <w:rFonts w:ascii="Arial" w:hAnsi="Arial"/>
          <w:sz w:val="20"/>
          <w:szCs w:val="20"/>
        </w:rPr>
        <w:t>.</w:t>
      </w:r>
      <w:r w:rsidR="009E3237">
        <w:rPr>
          <w:rFonts w:ascii="Arial" w:hAnsi="Arial"/>
          <w:sz w:val="20"/>
          <w:szCs w:val="20"/>
        </w:rPr>
        <w:t xml:space="preserve"> As set out in the Scheme Document, s</w:t>
      </w:r>
      <w:r w:rsidRPr="00607FB7">
        <w:rPr>
          <w:rFonts w:ascii="Arial" w:hAnsi="Arial"/>
          <w:sz w:val="20"/>
          <w:szCs w:val="20"/>
        </w:rPr>
        <w:t>ettlement of the consideration to which any Scheme Shareholder is entitled will be effected</w:t>
      </w:r>
      <w:r w:rsidR="009E3237">
        <w:rPr>
          <w:rFonts w:ascii="Arial" w:hAnsi="Arial"/>
          <w:sz w:val="20"/>
          <w:szCs w:val="20"/>
        </w:rPr>
        <w:t xml:space="preserve"> </w:t>
      </w:r>
      <w:r w:rsidRPr="00607FB7">
        <w:rPr>
          <w:rFonts w:ascii="Arial" w:hAnsi="Arial"/>
          <w:sz w:val="20"/>
          <w:szCs w:val="20"/>
        </w:rPr>
        <w:t>by way</w:t>
      </w:r>
      <w:r w:rsidR="00FC1C78">
        <w:rPr>
          <w:rFonts w:ascii="Arial" w:hAnsi="Arial"/>
          <w:sz w:val="20"/>
          <w:szCs w:val="20"/>
        </w:rPr>
        <w:t xml:space="preserve"> of electronic payment or</w:t>
      </w:r>
      <w:r w:rsidRPr="00607FB7">
        <w:rPr>
          <w:rFonts w:ascii="Arial" w:hAnsi="Arial"/>
          <w:sz w:val="20"/>
          <w:szCs w:val="20"/>
        </w:rPr>
        <w:t xml:space="preserve"> the despatch of cheques or the crediting of CREST accounts (for Scheme Shareholders</w:t>
      </w:r>
      <w:r w:rsidR="009E3237">
        <w:rPr>
          <w:rFonts w:ascii="Arial" w:hAnsi="Arial"/>
          <w:sz w:val="20"/>
          <w:szCs w:val="20"/>
        </w:rPr>
        <w:t xml:space="preserve"> </w:t>
      </w:r>
      <w:r w:rsidRPr="00607FB7">
        <w:rPr>
          <w:rFonts w:ascii="Arial" w:hAnsi="Arial"/>
          <w:sz w:val="20"/>
          <w:szCs w:val="20"/>
        </w:rPr>
        <w:t>holding Scheme Shares in certificated form and in uncertificated form respectively) as soon as</w:t>
      </w:r>
      <w:r w:rsidR="009E3237">
        <w:rPr>
          <w:rFonts w:ascii="Arial" w:hAnsi="Arial"/>
          <w:sz w:val="20"/>
          <w:szCs w:val="20"/>
        </w:rPr>
        <w:t xml:space="preserve"> </w:t>
      </w:r>
      <w:r w:rsidRPr="00607FB7">
        <w:rPr>
          <w:rFonts w:ascii="Arial" w:hAnsi="Arial"/>
          <w:sz w:val="20"/>
          <w:szCs w:val="20"/>
        </w:rPr>
        <w:t>practicable and in any event not later than 14 days after the Effective Date</w:t>
      </w:r>
      <w:r w:rsidR="00D71CC3">
        <w:rPr>
          <w:rFonts w:ascii="Arial" w:hAnsi="Arial"/>
          <w:sz w:val="20"/>
          <w:szCs w:val="20"/>
        </w:rPr>
        <w:t xml:space="preserve"> (being </w:t>
      </w:r>
      <w:r>
        <w:rPr>
          <w:rFonts w:ascii="Arial" w:hAnsi="Arial"/>
          <w:sz w:val="20"/>
          <w:szCs w:val="20"/>
        </w:rPr>
        <w:t>30 January</w:t>
      </w:r>
      <w:r w:rsidR="00D71CC3">
        <w:rPr>
          <w:rFonts w:ascii="Arial" w:hAnsi="Arial"/>
          <w:sz w:val="20"/>
          <w:szCs w:val="20"/>
        </w:rPr>
        <w:t xml:space="preserve"> 2024)</w:t>
      </w:r>
      <w:r w:rsidRPr="00607FB7">
        <w:rPr>
          <w:rFonts w:ascii="Arial" w:hAnsi="Arial"/>
          <w:sz w:val="20"/>
          <w:szCs w:val="20"/>
        </w:rPr>
        <w:t>.</w:t>
      </w:r>
    </w:p>
    <w:p w14:paraId="103619B3" w14:textId="111787DF" w:rsidR="00380BDA" w:rsidRDefault="00380BDA" w:rsidP="00607FB7">
      <w:pPr>
        <w:jc w:val="both"/>
        <w:rPr>
          <w:rFonts w:ascii="Arial" w:hAnsi="Arial"/>
          <w:sz w:val="20"/>
          <w:szCs w:val="20"/>
        </w:rPr>
      </w:pPr>
    </w:p>
    <w:p w14:paraId="2B500FAA" w14:textId="43A2D0B8" w:rsidR="00380BDA" w:rsidRPr="009E3237" w:rsidRDefault="00C13717" w:rsidP="00380BDA">
      <w:pPr>
        <w:jc w:val="both"/>
        <w:rPr>
          <w:rFonts w:ascii="Arial" w:hAnsi="Arial"/>
          <w:b/>
          <w:bCs/>
          <w:sz w:val="20"/>
          <w:szCs w:val="20"/>
        </w:rPr>
      </w:pPr>
      <w:r>
        <w:rPr>
          <w:rFonts w:ascii="Arial" w:hAnsi="Arial"/>
          <w:b/>
          <w:bCs/>
          <w:sz w:val="20"/>
          <w:szCs w:val="20"/>
        </w:rPr>
        <w:t>Board Changes</w:t>
      </w:r>
    </w:p>
    <w:p w14:paraId="6FCC6A08" w14:textId="77777777" w:rsidR="00380BDA" w:rsidRDefault="00380BDA" w:rsidP="00380BDA">
      <w:pPr>
        <w:jc w:val="both"/>
        <w:rPr>
          <w:rFonts w:ascii="Arial" w:hAnsi="Arial"/>
          <w:sz w:val="20"/>
          <w:szCs w:val="20"/>
        </w:rPr>
      </w:pPr>
    </w:p>
    <w:p w14:paraId="7276B99C" w14:textId="44D0FE4A" w:rsidR="00380BDA" w:rsidRDefault="00C13717" w:rsidP="00380BDA">
      <w:pPr>
        <w:jc w:val="both"/>
        <w:rPr>
          <w:rFonts w:ascii="Arial" w:hAnsi="Arial"/>
          <w:sz w:val="20"/>
          <w:szCs w:val="20"/>
        </w:rPr>
      </w:pPr>
      <w:r>
        <w:rPr>
          <w:rFonts w:ascii="Arial" w:hAnsi="Arial"/>
          <w:sz w:val="20"/>
          <w:szCs w:val="20"/>
        </w:rPr>
        <w:t xml:space="preserve">As the </w:t>
      </w:r>
      <w:r w:rsidRPr="00607FB7">
        <w:rPr>
          <w:rFonts w:ascii="Arial" w:hAnsi="Arial"/>
          <w:sz w:val="20"/>
          <w:szCs w:val="20"/>
        </w:rPr>
        <w:t xml:space="preserve">Scheme </w:t>
      </w:r>
      <w:r>
        <w:rPr>
          <w:rFonts w:ascii="Arial" w:hAnsi="Arial"/>
          <w:sz w:val="20"/>
          <w:szCs w:val="20"/>
        </w:rPr>
        <w:t xml:space="preserve">has now become </w:t>
      </w:r>
      <w:r w:rsidR="00FC1C78">
        <w:rPr>
          <w:rFonts w:ascii="Arial" w:hAnsi="Arial"/>
          <w:sz w:val="20"/>
          <w:szCs w:val="20"/>
        </w:rPr>
        <w:t>E</w:t>
      </w:r>
      <w:r>
        <w:rPr>
          <w:rFonts w:ascii="Arial" w:hAnsi="Arial"/>
          <w:sz w:val="20"/>
          <w:szCs w:val="20"/>
        </w:rPr>
        <w:t xml:space="preserve">ffective, Dechra duly announces that, as of today’s date all of the </w:t>
      </w:r>
      <w:r w:rsidR="00FC6B47">
        <w:rPr>
          <w:rFonts w:ascii="Arial" w:hAnsi="Arial"/>
          <w:sz w:val="20"/>
          <w:szCs w:val="20"/>
        </w:rPr>
        <w:t>Non</w:t>
      </w:r>
      <w:r>
        <w:rPr>
          <w:rFonts w:ascii="Arial" w:hAnsi="Arial"/>
          <w:sz w:val="20"/>
          <w:szCs w:val="20"/>
        </w:rPr>
        <w:t>-</w:t>
      </w:r>
      <w:r w:rsidR="00FC6B47">
        <w:rPr>
          <w:rFonts w:ascii="Arial" w:hAnsi="Arial"/>
          <w:sz w:val="20"/>
          <w:szCs w:val="20"/>
        </w:rPr>
        <w:t>E</w:t>
      </w:r>
      <w:r>
        <w:rPr>
          <w:rFonts w:ascii="Arial" w:hAnsi="Arial"/>
          <w:sz w:val="20"/>
          <w:szCs w:val="20"/>
        </w:rPr>
        <w:t xml:space="preserve">xecutive </w:t>
      </w:r>
      <w:r w:rsidR="00FC6B47">
        <w:rPr>
          <w:rFonts w:ascii="Arial" w:hAnsi="Arial"/>
          <w:sz w:val="20"/>
          <w:szCs w:val="20"/>
        </w:rPr>
        <w:t>D</w:t>
      </w:r>
      <w:r>
        <w:rPr>
          <w:rFonts w:ascii="Arial" w:hAnsi="Arial"/>
          <w:sz w:val="20"/>
          <w:szCs w:val="20"/>
        </w:rPr>
        <w:t>irectors of Dechra have tendered their resignation and stepped down from the Dechra Board. Ian Page and Paul Sandland will remain as directors on the Dechra Board.</w:t>
      </w:r>
    </w:p>
    <w:p w14:paraId="4EC42E5B" w14:textId="77777777" w:rsidR="00380BDA" w:rsidRDefault="00380BDA" w:rsidP="00607FB7">
      <w:pPr>
        <w:jc w:val="both"/>
        <w:rPr>
          <w:rFonts w:ascii="Arial" w:hAnsi="Arial"/>
          <w:sz w:val="20"/>
          <w:szCs w:val="20"/>
        </w:rPr>
      </w:pPr>
    </w:p>
    <w:p w14:paraId="714CB2F8" w14:textId="363F45CB" w:rsidR="009E3237" w:rsidRDefault="009E3237" w:rsidP="009E3237">
      <w:pPr>
        <w:jc w:val="both"/>
        <w:rPr>
          <w:rFonts w:ascii="Arial" w:hAnsi="Arial"/>
          <w:sz w:val="20"/>
          <w:szCs w:val="20"/>
        </w:rPr>
      </w:pPr>
    </w:p>
    <w:bookmarkEnd w:id="1"/>
    <w:p w14:paraId="2B15B563" w14:textId="77777777" w:rsidR="00A806FE" w:rsidRPr="00F71118" w:rsidRDefault="00C13717" w:rsidP="00A806FE">
      <w:pPr>
        <w:keepNext/>
        <w:spacing w:after="220" w:line="288" w:lineRule="auto"/>
        <w:jc w:val="both"/>
        <w:rPr>
          <w:rFonts w:ascii="Arial" w:eastAsia="Calibri" w:hAnsi="Arial"/>
          <w:b/>
          <w:sz w:val="20"/>
          <w:szCs w:val="20"/>
        </w:rPr>
      </w:pPr>
      <w:r w:rsidRPr="00F71118">
        <w:rPr>
          <w:rFonts w:ascii="Arial" w:eastAsia="Calibri" w:hAnsi="Arial"/>
          <w:b/>
          <w:sz w:val="20"/>
          <w:szCs w:val="20"/>
        </w:rPr>
        <w:t>Enquiries:</w:t>
      </w:r>
    </w:p>
    <w:tbl>
      <w:tblPr>
        <w:tblW w:w="0" w:type="auto"/>
        <w:tblInd w:w="108" w:type="dxa"/>
        <w:tblLook w:val="04A0" w:firstRow="1" w:lastRow="0" w:firstColumn="1" w:lastColumn="0" w:noHBand="0" w:noVBand="1"/>
      </w:tblPr>
      <w:tblGrid>
        <w:gridCol w:w="6839"/>
        <w:gridCol w:w="2080"/>
      </w:tblGrid>
      <w:tr w:rsidR="00280EA4" w14:paraId="61DD114B" w14:textId="77777777" w:rsidTr="00D750C7">
        <w:trPr>
          <w:trHeight w:val="1252"/>
        </w:trPr>
        <w:tc>
          <w:tcPr>
            <w:tcW w:w="6980" w:type="dxa"/>
          </w:tcPr>
          <w:p w14:paraId="317EBDDE" w14:textId="77777777" w:rsidR="004C4499" w:rsidRPr="00A73A38" w:rsidRDefault="00C13717" w:rsidP="00D750C7">
            <w:pPr>
              <w:keepNext/>
              <w:spacing w:before="120" w:after="120"/>
              <w:ind w:left="-109"/>
              <w:rPr>
                <w:rFonts w:ascii="Arial" w:hAnsi="Arial"/>
                <w:b/>
                <w:sz w:val="20"/>
                <w:szCs w:val="20"/>
              </w:rPr>
            </w:pPr>
            <w:r>
              <w:rPr>
                <w:rFonts w:ascii="Arial" w:hAnsi="Arial"/>
                <w:b/>
                <w:sz w:val="20"/>
                <w:szCs w:val="20"/>
              </w:rPr>
              <w:t>Dechra</w:t>
            </w:r>
            <w:r w:rsidRPr="00A73A38">
              <w:rPr>
                <w:rFonts w:ascii="Arial" w:hAnsi="Arial"/>
                <w:b/>
                <w:sz w:val="20"/>
                <w:szCs w:val="20"/>
              </w:rPr>
              <w:t xml:space="preserve"> </w:t>
            </w:r>
            <w:r w:rsidRPr="00A73A38">
              <w:rPr>
                <w:rFonts w:ascii="Arial" w:hAnsi="Arial"/>
                <w:b/>
                <w:sz w:val="20"/>
                <w:szCs w:val="20"/>
              </w:rPr>
              <w:tab/>
            </w:r>
          </w:p>
          <w:p w14:paraId="6646CA08" w14:textId="77777777" w:rsidR="004C4499" w:rsidRPr="00A73A38" w:rsidRDefault="00C13717" w:rsidP="00D750C7">
            <w:pPr>
              <w:keepNext/>
              <w:spacing w:before="120" w:after="120"/>
              <w:ind w:left="-109"/>
              <w:rPr>
                <w:rFonts w:ascii="Arial" w:hAnsi="Arial"/>
                <w:bCs/>
                <w:sz w:val="20"/>
                <w:szCs w:val="20"/>
              </w:rPr>
            </w:pPr>
            <w:r w:rsidRPr="00A73A38">
              <w:rPr>
                <w:rFonts w:ascii="Arial" w:hAnsi="Arial"/>
                <w:bCs/>
                <w:sz w:val="20"/>
                <w:szCs w:val="20"/>
              </w:rPr>
              <w:t>Ian Page, Chief Executive Officer</w:t>
            </w:r>
          </w:p>
          <w:p w14:paraId="44C193AF" w14:textId="77777777" w:rsidR="004C4499" w:rsidRPr="00A73A38" w:rsidRDefault="00C13717" w:rsidP="00D750C7">
            <w:pPr>
              <w:keepNext/>
              <w:spacing w:before="120" w:after="120"/>
              <w:ind w:left="-109"/>
              <w:rPr>
                <w:rFonts w:ascii="Arial" w:hAnsi="Arial"/>
                <w:bCs/>
                <w:sz w:val="20"/>
                <w:szCs w:val="20"/>
              </w:rPr>
            </w:pPr>
            <w:r w:rsidRPr="00A73A38">
              <w:rPr>
                <w:rFonts w:ascii="Arial" w:hAnsi="Arial"/>
                <w:bCs/>
                <w:sz w:val="20"/>
                <w:szCs w:val="20"/>
              </w:rPr>
              <w:t>Paul Sandland, Chief Financial Officer</w:t>
            </w:r>
          </w:p>
          <w:p w14:paraId="514B874D" w14:textId="77777777" w:rsidR="004C4499" w:rsidRPr="00A73A38" w:rsidRDefault="00C13717" w:rsidP="00D750C7">
            <w:pPr>
              <w:spacing w:before="120" w:after="120"/>
              <w:ind w:left="-108"/>
              <w:rPr>
                <w:rFonts w:ascii="Arial" w:hAnsi="Arial"/>
                <w:b/>
                <w:sz w:val="20"/>
                <w:szCs w:val="20"/>
              </w:rPr>
            </w:pPr>
            <w:r w:rsidRPr="00A73A38">
              <w:rPr>
                <w:rFonts w:ascii="Arial" w:hAnsi="Arial"/>
                <w:bCs/>
                <w:sz w:val="20"/>
                <w:szCs w:val="20"/>
              </w:rPr>
              <w:t xml:space="preserve">Jonny Armstrong, Head of Investor Relations </w:t>
            </w:r>
          </w:p>
        </w:tc>
        <w:tc>
          <w:tcPr>
            <w:tcW w:w="1928" w:type="dxa"/>
          </w:tcPr>
          <w:p w14:paraId="59926FEF" w14:textId="77777777" w:rsidR="004C4499" w:rsidRPr="00A73A38" w:rsidRDefault="00C13717" w:rsidP="00D750C7">
            <w:pPr>
              <w:spacing w:before="120" w:after="120"/>
              <w:ind w:left="-108" w:right="-104"/>
              <w:jc w:val="right"/>
              <w:rPr>
                <w:rFonts w:ascii="Arial" w:hAnsi="Arial"/>
                <w:b/>
                <w:bCs/>
                <w:sz w:val="20"/>
                <w:szCs w:val="20"/>
                <w:lang w:val="en-US"/>
              </w:rPr>
            </w:pPr>
            <w:r w:rsidRPr="00A73A38">
              <w:rPr>
                <w:rFonts w:ascii="Arial" w:hAnsi="Arial"/>
                <w:b/>
                <w:sz w:val="20"/>
                <w:szCs w:val="20"/>
              </w:rPr>
              <w:t xml:space="preserve">+44 16 0681 4730 </w:t>
            </w:r>
          </w:p>
        </w:tc>
      </w:tr>
      <w:tr w:rsidR="00280EA4" w14:paraId="045CE686" w14:textId="77777777" w:rsidTr="00D750C7">
        <w:trPr>
          <w:trHeight w:val="1252"/>
        </w:trPr>
        <w:tc>
          <w:tcPr>
            <w:tcW w:w="6980" w:type="dxa"/>
          </w:tcPr>
          <w:p w14:paraId="78ED528B" w14:textId="77777777" w:rsidR="004C4499" w:rsidRPr="00A73A38" w:rsidRDefault="00C13717" w:rsidP="00D750C7">
            <w:pPr>
              <w:spacing w:before="120" w:after="120"/>
              <w:ind w:left="-108"/>
              <w:rPr>
                <w:rFonts w:ascii="Arial" w:hAnsi="Arial"/>
                <w:b/>
                <w:sz w:val="20"/>
                <w:szCs w:val="20"/>
              </w:rPr>
            </w:pPr>
            <w:r w:rsidRPr="00A73A38">
              <w:rPr>
                <w:rFonts w:ascii="Arial" w:hAnsi="Arial"/>
                <w:b/>
                <w:sz w:val="20"/>
                <w:szCs w:val="20"/>
              </w:rPr>
              <w:t xml:space="preserve">Investec Bank plc (Sole Financial Adviser and Corporate Broker to </w:t>
            </w:r>
            <w:r>
              <w:rPr>
                <w:rFonts w:ascii="Arial" w:hAnsi="Arial"/>
                <w:b/>
                <w:sz w:val="20"/>
                <w:szCs w:val="20"/>
              </w:rPr>
              <w:t>Dechra</w:t>
            </w:r>
            <w:r w:rsidRPr="00A73A38">
              <w:rPr>
                <w:rFonts w:ascii="Arial" w:hAnsi="Arial"/>
                <w:b/>
                <w:sz w:val="20"/>
                <w:szCs w:val="20"/>
              </w:rPr>
              <w:t>)</w:t>
            </w:r>
          </w:p>
          <w:p w14:paraId="438498B4" w14:textId="77777777" w:rsidR="004C4499" w:rsidRPr="00A73A38" w:rsidRDefault="00C13717" w:rsidP="00D750C7">
            <w:pPr>
              <w:spacing w:before="120" w:after="120"/>
              <w:ind w:left="-108"/>
              <w:rPr>
                <w:rFonts w:ascii="Arial" w:hAnsi="Arial"/>
                <w:bCs/>
                <w:sz w:val="20"/>
                <w:szCs w:val="20"/>
              </w:rPr>
            </w:pPr>
            <w:r w:rsidRPr="00A73A38">
              <w:rPr>
                <w:rFonts w:ascii="Arial" w:hAnsi="Arial"/>
                <w:bCs/>
                <w:sz w:val="20"/>
                <w:szCs w:val="20"/>
              </w:rPr>
              <w:t>Chris Treneman</w:t>
            </w:r>
          </w:p>
          <w:p w14:paraId="50E3151F" w14:textId="77777777" w:rsidR="004C4499" w:rsidRPr="00A73A38" w:rsidRDefault="00C13717" w:rsidP="00D750C7">
            <w:pPr>
              <w:spacing w:before="120" w:after="120"/>
              <w:ind w:left="-108"/>
              <w:rPr>
                <w:rFonts w:ascii="Arial" w:hAnsi="Arial"/>
                <w:bCs/>
                <w:sz w:val="20"/>
                <w:szCs w:val="20"/>
              </w:rPr>
            </w:pPr>
            <w:r w:rsidRPr="00A73A38">
              <w:rPr>
                <w:rFonts w:ascii="Arial" w:hAnsi="Arial"/>
                <w:bCs/>
                <w:sz w:val="20"/>
                <w:szCs w:val="20"/>
              </w:rPr>
              <w:t>Bruce Garrow</w:t>
            </w:r>
          </w:p>
          <w:p w14:paraId="32AE1709" w14:textId="77777777" w:rsidR="004C4499" w:rsidRPr="00A73A38" w:rsidRDefault="00C13717" w:rsidP="00D750C7">
            <w:pPr>
              <w:spacing w:before="120" w:after="120"/>
              <w:ind w:left="-108"/>
              <w:rPr>
                <w:rFonts w:ascii="Arial" w:hAnsi="Arial"/>
                <w:b/>
                <w:sz w:val="20"/>
                <w:szCs w:val="20"/>
              </w:rPr>
            </w:pPr>
            <w:r w:rsidRPr="00A73A38">
              <w:rPr>
                <w:rFonts w:ascii="Arial" w:hAnsi="Arial"/>
                <w:bCs/>
                <w:sz w:val="20"/>
                <w:szCs w:val="20"/>
              </w:rPr>
              <w:t>David Anderson</w:t>
            </w:r>
          </w:p>
        </w:tc>
        <w:tc>
          <w:tcPr>
            <w:tcW w:w="1928" w:type="dxa"/>
          </w:tcPr>
          <w:p w14:paraId="5BB686C4" w14:textId="77777777" w:rsidR="004C4499" w:rsidRPr="00A73A38" w:rsidRDefault="00C13717" w:rsidP="00D750C7">
            <w:pPr>
              <w:spacing w:before="120" w:after="120"/>
              <w:ind w:left="-108" w:right="-104"/>
              <w:jc w:val="right"/>
              <w:rPr>
                <w:rFonts w:ascii="Arial" w:hAnsi="Arial"/>
                <w:b/>
                <w:bCs/>
                <w:sz w:val="20"/>
                <w:szCs w:val="20"/>
                <w:lang w:val="en-US"/>
              </w:rPr>
            </w:pPr>
            <w:r w:rsidRPr="00A73A38">
              <w:rPr>
                <w:rFonts w:ascii="Arial" w:hAnsi="Arial"/>
                <w:b/>
                <w:sz w:val="20"/>
                <w:szCs w:val="20"/>
              </w:rPr>
              <w:t xml:space="preserve">+44 20 7597 5970 </w:t>
            </w:r>
          </w:p>
        </w:tc>
      </w:tr>
      <w:tr w:rsidR="00280EA4" w14:paraId="5747CD7E" w14:textId="77777777" w:rsidTr="007966FA">
        <w:trPr>
          <w:trHeight w:val="797"/>
        </w:trPr>
        <w:tc>
          <w:tcPr>
            <w:tcW w:w="6980" w:type="dxa"/>
          </w:tcPr>
          <w:p w14:paraId="7B044392" w14:textId="77777777" w:rsidR="004C4499" w:rsidRPr="00A73A38" w:rsidRDefault="00C13717" w:rsidP="00D750C7">
            <w:pPr>
              <w:spacing w:before="120" w:after="120"/>
              <w:ind w:left="-108"/>
              <w:rPr>
                <w:rFonts w:ascii="Arial" w:hAnsi="Arial"/>
                <w:b/>
                <w:sz w:val="20"/>
                <w:szCs w:val="20"/>
              </w:rPr>
            </w:pPr>
            <w:r w:rsidRPr="00A73A38">
              <w:rPr>
                <w:rFonts w:ascii="Arial" w:hAnsi="Arial"/>
                <w:b/>
                <w:sz w:val="20"/>
                <w:szCs w:val="20"/>
              </w:rPr>
              <w:t xml:space="preserve">Tooley Street Communication (PR Adviser to </w:t>
            </w:r>
            <w:r>
              <w:rPr>
                <w:rFonts w:ascii="Arial" w:hAnsi="Arial"/>
                <w:b/>
                <w:sz w:val="20"/>
                <w:szCs w:val="20"/>
              </w:rPr>
              <w:t>Dechra</w:t>
            </w:r>
            <w:r w:rsidRPr="00A73A38">
              <w:rPr>
                <w:rFonts w:ascii="Arial" w:hAnsi="Arial"/>
                <w:b/>
                <w:sz w:val="20"/>
                <w:szCs w:val="20"/>
              </w:rPr>
              <w:t>)</w:t>
            </w:r>
          </w:p>
          <w:p w14:paraId="6DA12E46" w14:textId="77777777" w:rsidR="004C4499" w:rsidRPr="00A73A38" w:rsidRDefault="00C13717" w:rsidP="00D750C7">
            <w:pPr>
              <w:spacing w:before="120" w:after="120"/>
              <w:ind w:left="-108"/>
              <w:rPr>
                <w:rFonts w:ascii="Arial" w:hAnsi="Arial"/>
                <w:b/>
                <w:sz w:val="20"/>
                <w:szCs w:val="20"/>
              </w:rPr>
            </w:pPr>
            <w:r w:rsidRPr="00A73A38">
              <w:rPr>
                <w:rFonts w:ascii="Arial" w:hAnsi="Arial"/>
                <w:bCs/>
                <w:sz w:val="20"/>
                <w:szCs w:val="20"/>
              </w:rPr>
              <w:t>Fiona Tooley, Director</w:t>
            </w:r>
          </w:p>
        </w:tc>
        <w:tc>
          <w:tcPr>
            <w:tcW w:w="1928" w:type="dxa"/>
          </w:tcPr>
          <w:p w14:paraId="5B79258B" w14:textId="77777777" w:rsidR="004C4499" w:rsidRPr="00A73A38" w:rsidRDefault="00C13717" w:rsidP="00D750C7">
            <w:pPr>
              <w:spacing w:before="120" w:after="120"/>
              <w:ind w:left="-108" w:right="-104"/>
              <w:jc w:val="right"/>
              <w:rPr>
                <w:rFonts w:ascii="Arial" w:hAnsi="Arial"/>
                <w:b/>
                <w:bCs/>
                <w:sz w:val="20"/>
                <w:szCs w:val="20"/>
                <w:lang w:val="en-US"/>
              </w:rPr>
            </w:pPr>
            <w:r w:rsidRPr="00A73A38">
              <w:rPr>
                <w:rFonts w:ascii="Arial" w:hAnsi="Arial"/>
                <w:b/>
                <w:bCs/>
                <w:sz w:val="20"/>
                <w:szCs w:val="20"/>
                <w:lang w:val="en-US"/>
              </w:rPr>
              <w:t>+44 77 8570 3523</w:t>
            </w:r>
          </w:p>
          <w:p w14:paraId="51A237E9" w14:textId="77777777" w:rsidR="004C4499" w:rsidRPr="00A73A38" w:rsidRDefault="004C4499" w:rsidP="00D750C7">
            <w:pPr>
              <w:spacing w:before="120" w:after="120"/>
              <w:ind w:left="-108" w:right="-104"/>
              <w:jc w:val="right"/>
              <w:rPr>
                <w:rFonts w:ascii="Arial" w:hAnsi="Arial"/>
                <w:b/>
                <w:bCs/>
                <w:sz w:val="20"/>
                <w:szCs w:val="20"/>
                <w:lang w:val="en-US"/>
              </w:rPr>
            </w:pPr>
          </w:p>
        </w:tc>
      </w:tr>
      <w:tr w:rsidR="00280EA4" w14:paraId="60622A4E" w14:textId="77777777" w:rsidTr="00D750C7">
        <w:trPr>
          <w:trHeight w:val="870"/>
        </w:trPr>
        <w:tc>
          <w:tcPr>
            <w:tcW w:w="6980" w:type="dxa"/>
          </w:tcPr>
          <w:p w14:paraId="78A35188" w14:textId="77777777" w:rsidR="004C4499" w:rsidRPr="00A73A38" w:rsidRDefault="00C13717" w:rsidP="00D750C7">
            <w:pPr>
              <w:spacing w:before="120" w:after="120"/>
              <w:ind w:left="-108"/>
              <w:rPr>
                <w:rFonts w:ascii="Arial" w:hAnsi="Arial"/>
                <w:b/>
                <w:sz w:val="20"/>
                <w:szCs w:val="20"/>
              </w:rPr>
            </w:pPr>
            <w:r>
              <w:rPr>
                <w:rFonts w:ascii="Arial" w:hAnsi="Arial"/>
                <w:b/>
                <w:sz w:val="20"/>
                <w:szCs w:val="20"/>
              </w:rPr>
              <w:t>EQT</w:t>
            </w:r>
          </w:p>
          <w:p w14:paraId="2C7BCACA" w14:textId="77777777" w:rsidR="004C4499" w:rsidRPr="00A73A38" w:rsidRDefault="00C13717" w:rsidP="00D750C7">
            <w:pPr>
              <w:spacing w:before="120" w:after="120"/>
              <w:ind w:left="-108"/>
              <w:rPr>
                <w:rFonts w:ascii="Arial" w:hAnsi="Arial"/>
                <w:b/>
                <w:sz w:val="20"/>
                <w:szCs w:val="20"/>
              </w:rPr>
            </w:pPr>
            <w:r w:rsidRPr="00A73A38">
              <w:rPr>
                <w:rFonts w:ascii="Arial" w:hAnsi="Arial"/>
                <w:bCs/>
                <w:sz w:val="20"/>
                <w:szCs w:val="20"/>
              </w:rPr>
              <w:t>Finn McLaughlan</w:t>
            </w:r>
          </w:p>
        </w:tc>
        <w:tc>
          <w:tcPr>
            <w:tcW w:w="1928" w:type="dxa"/>
          </w:tcPr>
          <w:p w14:paraId="241F6EF1" w14:textId="77777777" w:rsidR="004C4499" w:rsidRPr="00A73A38" w:rsidRDefault="00C13717" w:rsidP="00D750C7">
            <w:pPr>
              <w:spacing w:before="120" w:after="120"/>
              <w:ind w:left="-108" w:right="-104"/>
              <w:jc w:val="right"/>
              <w:rPr>
                <w:rFonts w:ascii="Arial" w:hAnsi="Arial"/>
                <w:b/>
                <w:sz w:val="20"/>
                <w:szCs w:val="20"/>
              </w:rPr>
            </w:pPr>
            <w:r w:rsidRPr="00A73A38">
              <w:rPr>
                <w:rFonts w:ascii="Arial" w:hAnsi="Arial"/>
                <w:b/>
                <w:bCs/>
                <w:sz w:val="20"/>
                <w:szCs w:val="20"/>
                <w:lang w:val="en-US"/>
              </w:rPr>
              <w:t>+44 77 1534 1608</w:t>
            </w:r>
          </w:p>
          <w:p w14:paraId="64EFD8EF" w14:textId="77777777" w:rsidR="004C4499" w:rsidRPr="00A73A38" w:rsidRDefault="004C4499" w:rsidP="00D750C7">
            <w:pPr>
              <w:spacing w:before="120" w:after="120"/>
              <w:ind w:left="-108" w:right="-104"/>
              <w:jc w:val="right"/>
              <w:rPr>
                <w:rFonts w:ascii="Arial" w:hAnsi="Arial"/>
                <w:b/>
                <w:sz w:val="20"/>
                <w:szCs w:val="20"/>
              </w:rPr>
            </w:pPr>
          </w:p>
        </w:tc>
      </w:tr>
      <w:tr w:rsidR="00280EA4" w14:paraId="311F90B8" w14:textId="77777777" w:rsidTr="00D750C7">
        <w:trPr>
          <w:trHeight w:val="993"/>
        </w:trPr>
        <w:tc>
          <w:tcPr>
            <w:tcW w:w="6980" w:type="dxa"/>
          </w:tcPr>
          <w:p w14:paraId="30FDD83D" w14:textId="77777777" w:rsidR="004C4499" w:rsidRPr="00A73A38" w:rsidRDefault="00C13717" w:rsidP="00D750C7">
            <w:pPr>
              <w:spacing w:before="120" w:after="120"/>
              <w:ind w:left="-108"/>
              <w:rPr>
                <w:rFonts w:ascii="Arial" w:hAnsi="Arial"/>
                <w:b/>
                <w:sz w:val="20"/>
                <w:szCs w:val="20"/>
              </w:rPr>
            </w:pPr>
            <w:r w:rsidRPr="00A73A38">
              <w:rPr>
                <w:rFonts w:ascii="Arial" w:hAnsi="Arial"/>
                <w:b/>
                <w:bCs/>
                <w:sz w:val="20"/>
                <w:szCs w:val="20"/>
                <w:lang w:val="en-US"/>
              </w:rPr>
              <w:t>BofA Securities</w:t>
            </w:r>
            <w:r w:rsidRPr="00A73A38">
              <w:rPr>
                <w:rFonts w:ascii="Arial" w:hAnsi="Arial"/>
                <w:b/>
                <w:sz w:val="20"/>
                <w:szCs w:val="20"/>
              </w:rPr>
              <w:t xml:space="preserve"> (Joint Financial Adviser to </w:t>
            </w:r>
            <w:r>
              <w:rPr>
                <w:rFonts w:ascii="Arial" w:hAnsi="Arial"/>
                <w:b/>
                <w:sz w:val="20"/>
                <w:szCs w:val="20"/>
              </w:rPr>
              <w:t>EQT</w:t>
            </w:r>
            <w:r w:rsidRPr="00A73A38">
              <w:rPr>
                <w:rFonts w:ascii="Arial" w:hAnsi="Arial"/>
                <w:b/>
                <w:sz w:val="20"/>
                <w:szCs w:val="20"/>
              </w:rPr>
              <w:t xml:space="preserve">, </w:t>
            </w:r>
            <w:r>
              <w:rPr>
                <w:rFonts w:ascii="Arial" w:hAnsi="Arial"/>
                <w:b/>
                <w:sz w:val="20"/>
                <w:szCs w:val="20"/>
              </w:rPr>
              <w:t>Luxinva S.A.</w:t>
            </w:r>
            <w:r w:rsidRPr="00A73A38">
              <w:rPr>
                <w:rFonts w:ascii="Arial" w:hAnsi="Arial"/>
                <w:b/>
                <w:sz w:val="20"/>
                <w:szCs w:val="20"/>
              </w:rPr>
              <w:t xml:space="preserve"> and Bidco)</w:t>
            </w:r>
          </w:p>
          <w:p w14:paraId="155D7733" w14:textId="77777777" w:rsidR="004C4499" w:rsidRPr="00A73A38" w:rsidRDefault="00C13717" w:rsidP="00D750C7">
            <w:pPr>
              <w:spacing w:before="120" w:after="120"/>
              <w:ind w:left="-108"/>
              <w:rPr>
                <w:rFonts w:ascii="Arial" w:hAnsi="Arial"/>
                <w:sz w:val="20"/>
                <w:szCs w:val="20"/>
              </w:rPr>
            </w:pPr>
            <w:r w:rsidRPr="00A73A38">
              <w:rPr>
                <w:rFonts w:ascii="Arial" w:hAnsi="Arial"/>
                <w:sz w:val="20"/>
                <w:szCs w:val="20"/>
              </w:rPr>
              <w:t>Laurent Dhome</w:t>
            </w:r>
          </w:p>
          <w:p w14:paraId="3DB2AD9A" w14:textId="77777777" w:rsidR="004C4499" w:rsidRPr="00A73A38" w:rsidRDefault="00C13717" w:rsidP="00D750C7">
            <w:pPr>
              <w:spacing w:before="120" w:after="120"/>
              <w:ind w:left="-108"/>
              <w:rPr>
                <w:rFonts w:ascii="Arial" w:hAnsi="Arial"/>
                <w:sz w:val="20"/>
                <w:szCs w:val="20"/>
              </w:rPr>
            </w:pPr>
            <w:r w:rsidRPr="00A73A38">
              <w:rPr>
                <w:rFonts w:ascii="Arial" w:hAnsi="Arial"/>
                <w:sz w:val="20"/>
                <w:szCs w:val="20"/>
              </w:rPr>
              <w:t>Geoff Iles</w:t>
            </w:r>
          </w:p>
          <w:p w14:paraId="0ABAD121" w14:textId="77777777" w:rsidR="004C4499" w:rsidRPr="00A73A38" w:rsidRDefault="00C13717" w:rsidP="00D750C7">
            <w:pPr>
              <w:spacing w:before="120" w:after="120"/>
              <w:ind w:left="-108"/>
              <w:rPr>
                <w:rFonts w:ascii="Arial" w:hAnsi="Arial"/>
                <w:sz w:val="20"/>
                <w:szCs w:val="20"/>
              </w:rPr>
            </w:pPr>
            <w:r w:rsidRPr="00A73A38">
              <w:rPr>
                <w:rFonts w:ascii="Arial" w:hAnsi="Arial"/>
                <w:sz w:val="20"/>
                <w:szCs w:val="20"/>
              </w:rPr>
              <w:t>Roy Wouters</w:t>
            </w:r>
          </w:p>
          <w:p w14:paraId="3BF58CD8" w14:textId="77777777" w:rsidR="004C4499" w:rsidRPr="00A73A38" w:rsidRDefault="00C13717" w:rsidP="00D750C7">
            <w:pPr>
              <w:spacing w:before="120" w:after="120"/>
              <w:ind w:left="-108"/>
              <w:rPr>
                <w:rFonts w:ascii="Arial" w:hAnsi="Arial"/>
                <w:sz w:val="20"/>
                <w:szCs w:val="20"/>
              </w:rPr>
            </w:pPr>
            <w:r w:rsidRPr="00A73A38">
              <w:rPr>
                <w:rFonts w:ascii="Arial" w:hAnsi="Arial"/>
                <w:sz w:val="20"/>
                <w:szCs w:val="20"/>
              </w:rPr>
              <w:t>Antonia Rowan</w:t>
            </w:r>
          </w:p>
          <w:p w14:paraId="56291A9A" w14:textId="77777777" w:rsidR="004C4499" w:rsidRPr="00A73A38" w:rsidRDefault="00C13717" w:rsidP="00D750C7">
            <w:pPr>
              <w:spacing w:before="120" w:after="120"/>
              <w:ind w:left="-108"/>
              <w:rPr>
                <w:rFonts w:ascii="Arial" w:hAnsi="Arial"/>
                <w:sz w:val="20"/>
                <w:szCs w:val="20"/>
              </w:rPr>
            </w:pPr>
            <w:r w:rsidRPr="00A73A38">
              <w:rPr>
                <w:rFonts w:ascii="Arial" w:hAnsi="Arial"/>
                <w:sz w:val="20"/>
                <w:szCs w:val="20"/>
              </w:rPr>
              <w:t>Roman Makovitskiy</w:t>
            </w:r>
          </w:p>
        </w:tc>
        <w:tc>
          <w:tcPr>
            <w:tcW w:w="1928" w:type="dxa"/>
          </w:tcPr>
          <w:p w14:paraId="01EE6183" w14:textId="77777777" w:rsidR="004C4499" w:rsidRPr="00A73A38" w:rsidRDefault="00C13717" w:rsidP="00D750C7">
            <w:pPr>
              <w:spacing w:before="120" w:after="120"/>
              <w:ind w:left="-108" w:right="-104"/>
              <w:jc w:val="right"/>
              <w:rPr>
                <w:rFonts w:ascii="Arial" w:hAnsi="Arial"/>
                <w:b/>
                <w:sz w:val="20"/>
                <w:szCs w:val="20"/>
              </w:rPr>
            </w:pPr>
            <w:r w:rsidRPr="00A73A38">
              <w:rPr>
                <w:rFonts w:ascii="Arial" w:hAnsi="Arial"/>
                <w:b/>
                <w:sz w:val="20"/>
                <w:szCs w:val="20"/>
              </w:rPr>
              <w:t>+44 20 7628 1000</w:t>
            </w:r>
          </w:p>
        </w:tc>
      </w:tr>
      <w:tr w:rsidR="00280EA4" w14:paraId="6CA27B9C" w14:textId="77777777" w:rsidTr="00311F2C">
        <w:trPr>
          <w:trHeight w:val="1701"/>
        </w:trPr>
        <w:tc>
          <w:tcPr>
            <w:tcW w:w="6980" w:type="dxa"/>
          </w:tcPr>
          <w:p w14:paraId="22FFAA2E" w14:textId="77777777" w:rsidR="004C4499" w:rsidRPr="00A73A38" w:rsidRDefault="00C13717" w:rsidP="00D750C7">
            <w:pPr>
              <w:spacing w:before="120" w:after="120"/>
              <w:ind w:left="-108"/>
              <w:rPr>
                <w:rFonts w:ascii="Arial" w:hAnsi="Arial"/>
                <w:b/>
                <w:sz w:val="20"/>
                <w:szCs w:val="20"/>
              </w:rPr>
            </w:pPr>
            <w:r w:rsidRPr="00A73A38">
              <w:rPr>
                <w:rFonts w:ascii="Arial" w:hAnsi="Arial"/>
                <w:b/>
                <w:bCs/>
                <w:sz w:val="20"/>
                <w:szCs w:val="20"/>
                <w:lang w:val="en-US"/>
              </w:rPr>
              <w:lastRenderedPageBreak/>
              <w:t>Morgan Stanley</w:t>
            </w:r>
            <w:r w:rsidRPr="00A73A38">
              <w:rPr>
                <w:rFonts w:ascii="Arial" w:hAnsi="Arial"/>
                <w:b/>
                <w:sz w:val="20"/>
                <w:szCs w:val="20"/>
              </w:rPr>
              <w:t xml:space="preserve"> (Joint Financial Adviser to </w:t>
            </w:r>
            <w:r>
              <w:rPr>
                <w:rFonts w:ascii="Arial" w:hAnsi="Arial"/>
                <w:b/>
                <w:sz w:val="20"/>
                <w:szCs w:val="20"/>
              </w:rPr>
              <w:t>EQT</w:t>
            </w:r>
            <w:r w:rsidRPr="00A73A38">
              <w:rPr>
                <w:rFonts w:ascii="Arial" w:hAnsi="Arial"/>
                <w:b/>
                <w:sz w:val="20"/>
                <w:szCs w:val="20"/>
              </w:rPr>
              <w:t xml:space="preserve">, </w:t>
            </w:r>
            <w:r>
              <w:rPr>
                <w:rFonts w:ascii="Arial" w:hAnsi="Arial"/>
                <w:b/>
                <w:sz w:val="20"/>
                <w:szCs w:val="20"/>
              </w:rPr>
              <w:t>Luxinva S.A.</w:t>
            </w:r>
            <w:r w:rsidRPr="00A73A38">
              <w:rPr>
                <w:rFonts w:ascii="Arial" w:hAnsi="Arial"/>
                <w:b/>
                <w:sz w:val="20"/>
                <w:szCs w:val="20"/>
              </w:rPr>
              <w:t xml:space="preserve"> and Bidco)</w:t>
            </w:r>
          </w:p>
          <w:p w14:paraId="45306E31" w14:textId="77777777" w:rsidR="004C4499" w:rsidRPr="00A73A38" w:rsidRDefault="00C13717" w:rsidP="00D750C7">
            <w:pPr>
              <w:spacing w:before="120" w:after="120"/>
              <w:ind w:left="-108"/>
              <w:rPr>
                <w:rFonts w:ascii="Arial" w:hAnsi="Arial"/>
                <w:sz w:val="20"/>
                <w:szCs w:val="20"/>
              </w:rPr>
            </w:pPr>
            <w:r w:rsidRPr="00A73A38">
              <w:rPr>
                <w:rFonts w:ascii="Arial" w:hAnsi="Arial"/>
                <w:sz w:val="20"/>
                <w:szCs w:val="20"/>
              </w:rPr>
              <w:t>Anthony Zammit</w:t>
            </w:r>
          </w:p>
          <w:p w14:paraId="6E003294" w14:textId="77777777" w:rsidR="004C4499" w:rsidRPr="00A73A38" w:rsidRDefault="00C13717" w:rsidP="00D750C7">
            <w:pPr>
              <w:spacing w:before="120" w:after="120"/>
              <w:ind w:left="-108"/>
              <w:rPr>
                <w:rFonts w:ascii="Arial" w:hAnsi="Arial"/>
                <w:sz w:val="20"/>
                <w:szCs w:val="20"/>
              </w:rPr>
            </w:pPr>
            <w:r w:rsidRPr="00A73A38">
              <w:rPr>
                <w:rFonts w:ascii="Arial" w:hAnsi="Arial"/>
                <w:sz w:val="20"/>
                <w:szCs w:val="20"/>
              </w:rPr>
              <w:t>James Talbot</w:t>
            </w:r>
          </w:p>
          <w:p w14:paraId="7CBC24AC" w14:textId="50B6A949" w:rsidR="004C4499" w:rsidRPr="00311F2C" w:rsidRDefault="00C13717" w:rsidP="00311F2C">
            <w:pPr>
              <w:spacing w:before="120" w:after="120"/>
              <w:ind w:left="-108"/>
              <w:rPr>
                <w:rFonts w:ascii="Arial" w:hAnsi="Arial"/>
                <w:sz w:val="20"/>
                <w:szCs w:val="20"/>
              </w:rPr>
            </w:pPr>
            <w:r w:rsidRPr="00A73A38">
              <w:rPr>
                <w:rFonts w:ascii="Arial" w:hAnsi="Arial"/>
                <w:sz w:val="20"/>
                <w:szCs w:val="20"/>
              </w:rPr>
              <w:t>Tom Perry</w:t>
            </w:r>
          </w:p>
        </w:tc>
        <w:tc>
          <w:tcPr>
            <w:tcW w:w="1928" w:type="dxa"/>
          </w:tcPr>
          <w:p w14:paraId="58D7DF68" w14:textId="77777777" w:rsidR="004C4499" w:rsidRPr="00A73A38" w:rsidRDefault="00C13717" w:rsidP="00D750C7">
            <w:pPr>
              <w:spacing w:before="120" w:after="120"/>
              <w:ind w:left="-108" w:right="-104"/>
              <w:jc w:val="right"/>
              <w:rPr>
                <w:rFonts w:ascii="Arial" w:hAnsi="Arial"/>
                <w:b/>
                <w:sz w:val="20"/>
                <w:szCs w:val="20"/>
              </w:rPr>
            </w:pPr>
            <w:r w:rsidRPr="00A73A38">
              <w:rPr>
                <w:rFonts w:ascii="Arial" w:hAnsi="Arial"/>
                <w:b/>
                <w:sz w:val="20"/>
                <w:szCs w:val="20"/>
              </w:rPr>
              <w:t xml:space="preserve">+44 20 </w:t>
            </w:r>
            <w:r w:rsidRPr="00A73A38">
              <w:rPr>
                <w:rFonts w:ascii="Arial" w:hAnsi="Arial"/>
                <w:b/>
                <w:bCs/>
                <w:sz w:val="20"/>
                <w:szCs w:val="20"/>
                <w:lang w:val="en-US"/>
              </w:rPr>
              <w:t>7425 8000</w:t>
            </w:r>
          </w:p>
        </w:tc>
      </w:tr>
      <w:tr w:rsidR="00280EA4" w14:paraId="4CEA1A57" w14:textId="77777777" w:rsidTr="00D750C7">
        <w:tc>
          <w:tcPr>
            <w:tcW w:w="6980" w:type="dxa"/>
          </w:tcPr>
          <w:p w14:paraId="306CFFEA" w14:textId="77777777" w:rsidR="004C4499" w:rsidRPr="00A73A38" w:rsidRDefault="00C13717" w:rsidP="00D750C7">
            <w:pPr>
              <w:spacing w:before="120" w:after="120"/>
              <w:ind w:left="-109"/>
              <w:rPr>
                <w:rFonts w:ascii="Arial" w:hAnsi="Arial"/>
                <w:b/>
                <w:sz w:val="20"/>
                <w:szCs w:val="20"/>
              </w:rPr>
            </w:pPr>
            <w:r w:rsidRPr="00A73A38">
              <w:rPr>
                <w:rFonts w:ascii="Arial" w:hAnsi="Arial"/>
                <w:b/>
                <w:sz w:val="20"/>
                <w:szCs w:val="20"/>
              </w:rPr>
              <w:t xml:space="preserve">FGS Global (PR Adviser to </w:t>
            </w:r>
            <w:r>
              <w:rPr>
                <w:rFonts w:ascii="Arial" w:hAnsi="Arial"/>
                <w:b/>
                <w:sz w:val="20"/>
                <w:szCs w:val="20"/>
              </w:rPr>
              <w:t>EQT</w:t>
            </w:r>
            <w:r w:rsidRPr="00A73A38">
              <w:rPr>
                <w:rFonts w:ascii="Arial" w:hAnsi="Arial"/>
                <w:b/>
                <w:sz w:val="20"/>
                <w:szCs w:val="20"/>
              </w:rPr>
              <w:t xml:space="preserve">, </w:t>
            </w:r>
            <w:r>
              <w:rPr>
                <w:rFonts w:ascii="Arial" w:hAnsi="Arial"/>
                <w:b/>
                <w:sz w:val="20"/>
                <w:szCs w:val="20"/>
              </w:rPr>
              <w:t>Luxinva S.A.</w:t>
            </w:r>
            <w:r w:rsidRPr="00A73A38">
              <w:rPr>
                <w:rFonts w:ascii="Arial" w:hAnsi="Arial"/>
                <w:b/>
                <w:sz w:val="20"/>
                <w:szCs w:val="20"/>
              </w:rPr>
              <w:t xml:space="preserve"> and Bidco)</w:t>
            </w:r>
          </w:p>
          <w:p w14:paraId="60A291BE" w14:textId="77777777" w:rsidR="004C4499" w:rsidRPr="00A73A38" w:rsidRDefault="00C13717" w:rsidP="00D750C7">
            <w:pPr>
              <w:spacing w:before="120" w:after="120"/>
              <w:ind w:left="-109"/>
              <w:rPr>
                <w:rFonts w:ascii="Arial" w:hAnsi="Arial"/>
                <w:bCs/>
                <w:sz w:val="20"/>
                <w:szCs w:val="20"/>
              </w:rPr>
            </w:pPr>
            <w:r w:rsidRPr="00A73A38">
              <w:rPr>
                <w:rFonts w:ascii="Arial" w:hAnsi="Arial"/>
                <w:bCs/>
                <w:sz w:val="20"/>
                <w:szCs w:val="20"/>
              </w:rPr>
              <w:t>Faeth Birch</w:t>
            </w:r>
          </w:p>
          <w:p w14:paraId="57BE08C7" w14:textId="77777777" w:rsidR="004C4499" w:rsidRPr="00A73A38" w:rsidRDefault="00C13717" w:rsidP="00D750C7">
            <w:pPr>
              <w:spacing w:before="120" w:after="120"/>
              <w:ind w:left="-109"/>
              <w:rPr>
                <w:rFonts w:ascii="Arial" w:hAnsi="Arial"/>
                <w:bCs/>
                <w:sz w:val="20"/>
                <w:szCs w:val="20"/>
              </w:rPr>
            </w:pPr>
            <w:r w:rsidRPr="00A73A38">
              <w:rPr>
                <w:rFonts w:ascii="Arial" w:hAnsi="Arial"/>
                <w:bCs/>
                <w:sz w:val="20"/>
                <w:szCs w:val="20"/>
              </w:rPr>
              <w:t>Chris Ryall</w:t>
            </w:r>
            <w:r w:rsidRPr="00A73A38">
              <w:rPr>
                <w:rFonts w:ascii="Arial" w:hAnsi="Arial"/>
                <w:bCs/>
                <w:sz w:val="20"/>
                <w:szCs w:val="20"/>
              </w:rPr>
              <w:tab/>
            </w:r>
            <w:r w:rsidRPr="00A73A38">
              <w:rPr>
                <w:rFonts w:ascii="Arial" w:hAnsi="Arial"/>
                <w:bCs/>
                <w:sz w:val="20"/>
                <w:szCs w:val="20"/>
              </w:rPr>
              <w:tab/>
            </w:r>
            <w:r w:rsidRPr="00A73A38">
              <w:rPr>
                <w:rFonts w:ascii="Arial" w:hAnsi="Arial"/>
                <w:bCs/>
                <w:sz w:val="20"/>
                <w:szCs w:val="20"/>
              </w:rPr>
              <w:tab/>
            </w:r>
            <w:r w:rsidRPr="00A73A38">
              <w:rPr>
                <w:rFonts w:ascii="Arial" w:hAnsi="Arial"/>
                <w:bCs/>
                <w:sz w:val="20"/>
                <w:szCs w:val="20"/>
              </w:rPr>
              <w:tab/>
              <w:t xml:space="preserve"> </w:t>
            </w:r>
          </w:p>
          <w:p w14:paraId="3063A392" w14:textId="77777777" w:rsidR="004C4499" w:rsidRPr="00A73A38" w:rsidRDefault="00C13717" w:rsidP="00D750C7">
            <w:pPr>
              <w:spacing w:before="120" w:after="120"/>
              <w:ind w:left="-109"/>
              <w:rPr>
                <w:rFonts w:ascii="Arial" w:hAnsi="Arial"/>
                <w:bCs/>
                <w:sz w:val="20"/>
                <w:szCs w:val="20"/>
              </w:rPr>
            </w:pPr>
            <w:r w:rsidRPr="00A73A38">
              <w:rPr>
                <w:rFonts w:ascii="Arial" w:hAnsi="Arial"/>
                <w:bCs/>
                <w:sz w:val="20"/>
                <w:szCs w:val="20"/>
              </w:rPr>
              <w:t>Sophia Johnston</w:t>
            </w:r>
          </w:p>
        </w:tc>
        <w:tc>
          <w:tcPr>
            <w:tcW w:w="1928" w:type="dxa"/>
          </w:tcPr>
          <w:p w14:paraId="7986D361" w14:textId="77777777" w:rsidR="004C4499" w:rsidRPr="00A73A38" w:rsidRDefault="00C13717" w:rsidP="00D750C7">
            <w:pPr>
              <w:spacing w:before="120" w:after="120"/>
              <w:ind w:left="-109" w:right="-104"/>
              <w:jc w:val="right"/>
              <w:rPr>
                <w:rFonts w:ascii="Arial" w:hAnsi="Arial"/>
                <w:b/>
                <w:bCs/>
                <w:sz w:val="20"/>
                <w:szCs w:val="20"/>
                <w:lang w:val="en-US"/>
              </w:rPr>
            </w:pPr>
            <w:r w:rsidRPr="00A73A38">
              <w:rPr>
                <w:rFonts w:ascii="Arial" w:hAnsi="Arial"/>
                <w:b/>
                <w:bCs/>
                <w:sz w:val="20"/>
                <w:szCs w:val="20"/>
                <w:lang w:val="en-US"/>
              </w:rPr>
              <w:t>+44 20 7251 3801</w:t>
            </w:r>
          </w:p>
          <w:p w14:paraId="44682B0C" w14:textId="77777777" w:rsidR="004C4499" w:rsidRPr="00A73A38" w:rsidRDefault="00C13717" w:rsidP="00D750C7">
            <w:pPr>
              <w:spacing w:before="120" w:after="120"/>
              <w:ind w:left="-109" w:right="-104"/>
              <w:jc w:val="right"/>
              <w:rPr>
                <w:rFonts w:ascii="Arial" w:hAnsi="Arial"/>
                <w:b/>
                <w:bCs/>
                <w:sz w:val="20"/>
                <w:szCs w:val="20"/>
                <w:lang w:val="en-US"/>
              </w:rPr>
            </w:pPr>
            <w:r w:rsidRPr="00A73A38">
              <w:rPr>
                <w:rFonts w:ascii="Arial" w:hAnsi="Arial"/>
                <w:b/>
                <w:bCs/>
                <w:sz w:val="20"/>
                <w:szCs w:val="20"/>
                <w:lang w:val="en-US"/>
              </w:rPr>
              <w:t xml:space="preserve">  </w:t>
            </w:r>
            <w:r>
              <w:rPr>
                <w:rFonts w:ascii="Arial" w:hAnsi="Arial"/>
                <w:b/>
                <w:bCs/>
                <w:sz w:val="20"/>
                <w:szCs w:val="20"/>
                <w:lang w:val="en-US"/>
              </w:rPr>
              <w:t>EQT</w:t>
            </w:r>
            <w:r w:rsidRPr="00A73A38">
              <w:rPr>
                <w:rFonts w:ascii="Arial" w:hAnsi="Arial"/>
                <w:b/>
                <w:bCs/>
                <w:sz w:val="20"/>
                <w:szCs w:val="20"/>
                <w:lang w:val="en-US"/>
              </w:rPr>
              <w:t>-LON@fgsglobal.com</w:t>
            </w:r>
          </w:p>
          <w:p w14:paraId="6B483A1B" w14:textId="77777777" w:rsidR="004C4499" w:rsidRPr="00A73A38" w:rsidRDefault="004C4499" w:rsidP="00D750C7">
            <w:pPr>
              <w:spacing w:before="120" w:after="120"/>
              <w:ind w:left="-109" w:right="-104"/>
              <w:jc w:val="right"/>
              <w:rPr>
                <w:rFonts w:ascii="Arial" w:hAnsi="Arial"/>
                <w:b/>
                <w:sz w:val="20"/>
                <w:szCs w:val="20"/>
              </w:rPr>
            </w:pPr>
          </w:p>
        </w:tc>
      </w:tr>
    </w:tbl>
    <w:p w14:paraId="336DE593" w14:textId="645DEDB5" w:rsidR="004C4499" w:rsidRDefault="004C4499" w:rsidP="00476760">
      <w:pPr>
        <w:jc w:val="both"/>
        <w:rPr>
          <w:rFonts w:ascii="Arial" w:eastAsia="Calibri" w:hAnsi="Arial"/>
          <w:sz w:val="20"/>
          <w:szCs w:val="20"/>
          <w:lang w:val="fr-FR" w:eastAsia="en-GB"/>
        </w:rPr>
      </w:pPr>
    </w:p>
    <w:p w14:paraId="02751F1D" w14:textId="77777777" w:rsidR="004C4499" w:rsidRPr="00F71118" w:rsidRDefault="004C4499" w:rsidP="00476760">
      <w:pPr>
        <w:jc w:val="both"/>
        <w:rPr>
          <w:rFonts w:ascii="Arial" w:eastAsia="Calibri" w:hAnsi="Arial"/>
          <w:sz w:val="20"/>
          <w:szCs w:val="20"/>
          <w:lang w:val="fr-FR" w:eastAsia="en-GB"/>
        </w:rPr>
      </w:pPr>
    </w:p>
    <w:p w14:paraId="76C82BB3" w14:textId="77777777" w:rsidR="004C4499" w:rsidRDefault="00C13717" w:rsidP="004C4499">
      <w:pPr>
        <w:pStyle w:val="BodyText"/>
        <w:spacing w:after="0"/>
        <w:rPr>
          <w:rFonts w:ascii="Arial" w:hAnsi="Arial" w:cs="Arial"/>
          <w:sz w:val="20"/>
        </w:rPr>
      </w:pPr>
      <w:r w:rsidRPr="00A73A38">
        <w:rPr>
          <w:rFonts w:ascii="Arial" w:hAnsi="Arial" w:cs="Arial"/>
          <w:sz w:val="20"/>
        </w:rPr>
        <w:t xml:space="preserve">DLA Piper UK LLP is acting as legal adviser to </w:t>
      </w:r>
      <w:r>
        <w:rPr>
          <w:rFonts w:ascii="Arial" w:hAnsi="Arial" w:cs="Arial"/>
          <w:sz w:val="20"/>
        </w:rPr>
        <w:t>Dechra</w:t>
      </w:r>
      <w:r w:rsidRPr="00A73A38">
        <w:rPr>
          <w:rFonts w:ascii="Arial" w:hAnsi="Arial" w:cs="Arial"/>
          <w:sz w:val="20"/>
        </w:rPr>
        <w:t xml:space="preserve">. </w:t>
      </w:r>
    </w:p>
    <w:p w14:paraId="784158AD" w14:textId="77777777" w:rsidR="004C4499" w:rsidRPr="00522CDF" w:rsidRDefault="004C4499" w:rsidP="004C4499">
      <w:pPr>
        <w:pStyle w:val="BodyText1"/>
        <w:spacing w:after="0"/>
      </w:pPr>
    </w:p>
    <w:p w14:paraId="7DF3DF5A" w14:textId="77777777" w:rsidR="004C4499" w:rsidRDefault="00C13717" w:rsidP="004C4499">
      <w:pPr>
        <w:pStyle w:val="BodyText"/>
        <w:spacing w:after="0"/>
        <w:rPr>
          <w:rFonts w:ascii="Arial" w:hAnsi="Arial" w:cs="Arial"/>
          <w:sz w:val="20"/>
        </w:rPr>
      </w:pPr>
      <w:r w:rsidRPr="00A73A38">
        <w:rPr>
          <w:rFonts w:ascii="Arial" w:hAnsi="Arial" w:cs="Arial"/>
          <w:sz w:val="20"/>
        </w:rPr>
        <w:t xml:space="preserve">Kirkland &amp; Ellis International LLP is acting as legal adviser to Bidco and </w:t>
      </w:r>
      <w:r>
        <w:rPr>
          <w:rFonts w:ascii="Arial" w:hAnsi="Arial" w:cs="Arial"/>
          <w:sz w:val="20"/>
        </w:rPr>
        <w:t>EQT</w:t>
      </w:r>
      <w:r w:rsidRPr="00A73A38">
        <w:rPr>
          <w:rFonts w:ascii="Arial" w:hAnsi="Arial" w:cs="Arial"/>
          <w:sz w:val="20"/>
        </w:rPr>
        <w:t xml:space="preserve">, and Freshfields Bruckhaus Deringer LLP is acting as legal adviser to </w:t>
      </w:r>
      <w:r>
        <w:rPr>
          <w:rFonts w:ascii="Arial" w:hAnsi="Arial" w:cs="Arial"/>
          <w:sz w:val="20"/>
        </w:rPr>
        <w:t>Luxinva S.A.</w:t>
      </w:r>
      <w:r w:rsidRPr="00A73A38">
        <w:rPr>
          <w:rFonts w:ascii="Arial" w:hAnsi="Arial" w:cs="Arial"/>
          <w:sz w:val="20"/>
        </w:rPr>
        <w:t xml:space="preserve"> and </w:t>
      </w:r>
      <w:r>
        <w:rPr>
          <w:rFonts w:ascii="Arial" w:hAnsi="Arial" w:cs="Arial"/>
          <w:sz w:val="20"/>
        </w:rPr>
        <w:t>ADIA</w:t>
      </w:r>
      <w:r w:rsidRPr="00A73A38">
        <w:rPr>
          <w:rFonts w:ascii="Arial" w:hAnsi="Arial" w:cs="Arial"/>
          <w:sz w:val="20"/>
        </w:rPr>
        <w:t>.</w:t>
      </w:r>
    </w:p>
    <w:p w14:paraId="0FCC7F4D" w14:textId="77777777" w:rsidR="004C4499" w:rsidRPr="00522CDF" w:rsidRDefault="004C4499" w:rsidP="004C4499">
      <w:pPr>
        <w:pStyle w:val="BodyText1"/>
      </w:pPr>
    </w:p>
    <w:p w14:paraId="303B5735" w14:textId="77342D15" w:rsidR="004C4499" w:rsidRPr="00A73A38" w:rsidRDefault="00C13717" w:rsidP="006A38F6">
      <w:pPr>
        <w:pStyle w:val="MarginText"/>
        <w:keepNext/>
        <w:spacing w:line="360" w:lineRule="auto"/>
        <w:jc w:val="left"/>
        <w:rPr>
          <w:rFonts w:ascii="Arial" w:hAnsi="Arial" w:cs="Arial"/>
          <w:b/>
          <w:sz w:val="20"/>
        </w:rPr>
      </w:pPr>
      <w:bookmarkStart w:id="4" w:name="_Hlk136952952"/>
      <w:r w:rsidRPr="00A73A38">
        <w:rPr>
          <w:rFonts w:ascii="Arial" w:hAnsi="Arial" w:cs="Arial"/>
          <w:b/>
          <w:sz w:val="20"/>
        </w:rPr>
        <w:t>IMPORTANT NOTICES</w:t>
      </w:r>
    </w:p>
    <w:p w14:paraId="6F8D535C" w14:textId="77777777" w:rsidR="004C4499" w:rsidRPr="00A73A38" w:rsidRDefault="00C13717" w:rsidP="004C4499">
      <w:pPr>
        <w:pStyle w:val="BodyText"/>
        <w:jc w:val="both"/>
        <w:rPr>
          <w:rFonts w:ascii="Arial" w:hAnsi="Arial" w:cs="Arial"/>
          <w:iCs/>
          <w:sz w:val="20"/>
        </w:rPr>
      </w:pPr>
      <w:r w:rsidRPr="00A73A38">
        <w:rPr>
          <w:rFonts w:ascii="Arial" w:hAnsi="Arial" w:cs="Arial"/>
          <w:iCs/>
          <w:sz w:val="20"/>
        </w:rPr>
        <w:t>Merrill Lynch International (</w:t>
      </w:r>
      <w:r w:rsidRPr="00A73A38">
        <w:rPr>
          <w:rFonts w:ascii="Arial" w:hAnsi="Arial" w:cs="Arial"/>
          <w:b/>
          <w:bCs/>
          <w:iCs/>
          <w:sz w:val="20"/>
        </w:rPr>
        <w:t>"BofA Securities"</w:t>
      </w:r>
      <w:r w:rsidRPr="00A73A38">
        <w:rPr>
          <w:rFonts w:ascii="Arial" w:hAnsi="Arial" w:cs="Arial"/>
          <w:iCs/>
          <w:sz w:val="20"/>
        </w:rPr>
        <w:t xml:space="preserve">), which is authorised by the </w:t>
      </w:r>
      <w:r>
        <w:rPr>
          <w:rFonts w:ascii="Arial" w:hAnsi="Arial" w:cs="Arial"/>
          <w:iCs/>
          <w:sz w:val="20"/>
        </w:rPr>
        <w:t>Prudential Regulation Authority (“</w:t>
      </w:r>
      <w:r w:rsidRPr="00B75AD6">
        <w:rPr>
          <w:rFonts w:ascii="Arial" w:hAnsi="Arial" w:cs="Arial"/>
          <w:b/>
          <w:bCs/>
          <w:iCs/>
          <w:sz w:val="20"/>
        </w:rPr>
        <w:t>PRA</w:t>
      </w:r>
      <w:r>
        <w:rPr>
          <w:rFonts w:ascii="Arial" w:hAnsi="Arial" w:cs="Arial"/>
          <w:iCs/>
          <w:sz w:val="20"/>
        </w:rPr>
        <w:t>”)</w:t>
      </w:r>
      <w:r w:rsidRPr="00A73A38">
        <w:rPr>
          <w:rFonts w:ascii="Arial" w:hAnsi="Arial" w:cs="Arial"/>
          <w:iCs/>
          <w:sz w:val="20"/>
        </w:rPr>
        <w:t xml:space="preserve"> and regulated by the</w:t>
      </w:r>
      <w:r>
        <w:rPr>
          <w:rFonts w:ascii="Arial" w:hAnsi="Arial" w:cs="Arial"/>
          <w:iCs/>
          <w:sz w:val="20"/>
        </w:rPr>
        <w:t xml:space="preserve"> Financial Conduct Authority (“</w:t>
      </w:r>
      <w:r w:rsidRPr="00FC442E">
        <w:rPr>
          <w:rFonts w:ascii="Arial" w:hAnsi="Arial" w:cs="Arial"/>
          <w:b/>
          <w:bCs/>
          <w:iCs/>
          <w:sz w:val="20"/>
        </w:rPr>
        <w:t>FCA</w:t>
      </w:r>
      <w:r>
        <w:rPr>
          <w:rFonts w:ascii="Arial" w:hAnsi="Arial" w:cs="Arial"/>
          <w:iCs/>
          <w:sz w:val="20"/>
        </w:rPr>
        <w:t>”)</w:t>
      </w:r>
      <w:r w:rsidRPr="00A73A38">
        <w:rPr>
          <w:rFonts w:ascii="Arial" w:hAnsi="Arial" w:cs="Arial"/>
          <w:iCs/>
          <w:sz w:val="20"/>
        </w:rPr>
        <w:t xml:space="preserve"> and the PRA in the United Kingdom, is acting exclusively for </w:t>
      </w:r>
      <w:r>
        <w:rPr>
          <w:rFonts w:ascii="Arial" w:hAnsi="Arial" w:cs="Arial"/>
          <w:iCs/>
          <w:sz w:val="20"/>
        </w:rPr>
        <w:t>EQT</w:t>
      </w:r>
      <w:r w:rsidRPr="00A73A38">
        <w:rPr>
          <w:rFonts w:ascii="Arial" w:hAnsi="Arial" w:cs="Arial"/>
          <w:iCs/>
          <w:sz w:val="20"/>
        </w:rPr>
        <w:t xml:space="preserve">, </w:t>
      </w:r>
      <w:r>
        <w:rPr>
          <w:rFonts w:ascii="Arial" w:hAnsi="Arial" w:cs="Arial"/>
          <w:iCs/>
          <w:sz w:val="20"/>
        </w:rPr>
        <w:t>Luxinva S.A.</w:t>
      </w:r>
      <w:r w:rsidRPr="00A73A38">
        <w:rPr>
          <w:rFonts w:ascii="Arial" w:hAnsi="Arial" w:cs="Arial"/>
          <w:iCs/>
          <w:sz w:val="20"/>
        </w:rPr>
        <w:t xml:space="preserve"> and Bidco and for no one else and will not be responsible to anyone other than </w:t>
      </w:r>
      <w:r>
        <w:rPr>
          <w:rFonts w:ascii="Arial" w:hAnsi="Arial" w:cs="Arial"/>
          <w:iCs/>
          <w:sz w:val="20"/>
        </w:rPr>
        <w:t>EQT</w:t>
      </w:r>
      <w:r w:rsidRPr="00A73A38">
        <w:rPr>
          <w:rFonts w:ascii="Arial" w:hAnsi="Arial" w:cs="Arial"/>
          <w:iCs/>
          <w:sz w:val="20"/>
        </w:rPr>
        <w:t xml:space="preserve">, </w:t>
      </w:r>
      <w:r>
        <w:rPr>
          <w:rFonts w:ascii="Arial" w:hAnsi="Arial" w:cs="Arial"/>
          <w:iCs/>
          <w:sz w:val="20"/>
        </w:rPr>
        <w:t>Luxinva S.A.</w:t>
      </w:r>
      <w:r w:rsidRPr="00A73A38">
        <w:rPr>
          <w:rFonts w:ascii="Arial" w:hAnsi="Arial" w:cs="Arial"/>
          <w:iCs/>
          <w:sz w:val="20"/>
        </w:rPr>
        <w:t xml:space="preserve"> and Bidco for providing the protections afforded to its clients or for providing advice in connection with the Acquisition or any matter referred to herein. </w:t>
      </w:r>
      <w:r w:rsidRPr="00891FEB">
        <w:rPr>
          <w:rFonts w:ascii="Arial" w:hAnsi="Arial" w:cs="Arial"/>
          <w:iCs/>
          <w:sz w:val="20"/>
        </w:rPr>
        <w:t xml:space="preserve">Neither BofA Securities, nor any of its affiliates, owes or accepts any duty, liability or responsibility whatsoever (whether direct or indirect, whether in contract, in tort, under statute or otherwise) to any person who is not a client of BofA Securities in connection with this </w:t>
      </w:r>
      <w:r>
        <w:rPr>
          <w:rFonts w:ascii="Arial" w:hAnsi="Arial" w:cs="Arial"/>
          <w:iCs/>
          <w:sz w:val="20"/>
        </w:rPr>
        <w:t>A</w:t>
      </w:r>
      <w:r w:rsidRPr="00891FEB">
        <w:rPr>
          <w:rFonts w:ascii="Arial" w:hAnsi="Arial" w:cs="Arial"/>
          <w:iCs/>
          <w:sz w:val="20"/>
        </w:rPr>
        <w:t>nnouncement, any statement contained herein or otherwise.</w:t>
      </w:r>
    </w:p>
    <w:p w14:paraId="1BC3D8B9" w14:textId="77777777" w:rsidR="004C4499" w:rsidRPr="00A73A38" w:rsidRDefault="00C13717" w:rsidP="004C4499">
      <w:pPr>
        <w:pStyle w:val="BodyText"/>
        <w:jc w:val="both"/>
        <w:rPr>
          <w:rFonts w:ascii="Arial" w:hAnsi="Arial" w:cs="Arial"/>
          <w:iCs/>
          <w:sz w:val="20"/>
        </w:rPr>
      </w:pPr>
      <w:r w:rsidRPr="00A73A38">
        <w:rPr>
          <w:rFonts w:ascii="Arial" w:hAnsi="Arial" w:cs="Arial"/>
          <w:iCs/>
          <w:sz w:val="20"/>
        </w:rPr>
        <w:t>Morgan Stanley &amp; Co. International plc (</w:t>
      </w:r>
      <w:r w:rsidRPr="00A73A38">
        <w:rPr>
          <w:rFonts w:ascii="Arial" w:hAnsi="Arial" w:cs="Arial"/>
          <w:b/>
          <w:bCs/>
          <w:iCs/>
          <w:sz w:val="20"/>
        </w:rPr>
        <w:t>"Morgan Stanley"</w:t>
      </w:r>
      <w:r w:rsidRPr="00A73A38">
        <w:rPr>
          <w:rFonts w:ascii="Arial" w:hAnsi="Arial" w:cs="Arial"/>
          <w:iCs/>
          <w:sz w:val="20"/>
        </w:rPr>
        <w:t xml:space="preserve">), which is authorised by the PRA and regulated by the PRA and the FCA in the United Kingdom, is acting exclusively for </w:t>
      </w:r>
      <w:r>
        <w:rPr>
          <w:rFonts w:ascii="Arial" w:hAnsi="Arial" w:cs="Arial"/>
          <w:iCs/>
          <w:sz w:val="20"/>
        </w:rPr>
        <w:t>EQT</w:t>
      </w:r>
      <w:r w:rsidRPr="00A73A38">
        <w:rPr>
          <w:rFonts w:ascii="Arial" w:hAnsi="Arial" w:cs="Arial"/>
          <w:iCs/>
          <w:sz w:val="20"/>
        </w:rPr>
        <w:t xml:space="preserve">, </w:t>
      </w:r>
      <w:r>
        <w:rPr>
          <w:rFonts w:ascii="Arial" w:hAnsi="Arial" w:cs="Arial"/>
          <w:iCs/>
          <w:sz w:val="20"/>
        </w:rPr>
        <w:t>Luxinva S.A.</w:t>
      </w:r>
      <w:r w:rsidRPr="00A73A38">
        <w:rPr>
          <w:rFonts w:ascii="Arial" w:hAnsi="Arial" w:cs="Arial"/>
          <w:iCs/>
          <w:sz w:val="20"/>
        </w:rPr>
        <w:t xml:space="preserve"> and Bidco and for no one else in connection with the Acquisition. In connection with such matters, Morgan Stanley, its affiliates and their respective directors, officers, employees and agents will not regard any other person as their client, nor will they be responsible to any other person for providing the protections afforded to their clients or for providing advice in connection with the Acquisition</w:t>
      </w:r>
      <w:r>
        <w:rPr>
          <w:rFonts w:ascii="Arial" w:hAnsi="Arial" w:cs="Arial"/>
          <w:iCs/>
          <w:sz w:val="20"/>
        </w:rPr>
        <w:t>, the contents of this Announcement</w:t>
      </w:r>
      <w:r w:rsidRPr="00A73A38">
        <w:rPr>
          <w:rFonts w:ascii="Arial" w:hAnsi="Arial" w:cs="Arial"/>
          <w:iCs/>
          <w:sz w:val="20"/>
        </w:rPr>
        <w:t xml:space="preserve"> or any other matter referred to herein.</w:t>
      </w:r>
      <w:r>
        <w:rPr>
          <w:rFonts w:ascii="Arial" w:hAnsi="Arial" w:cs="Arial"/>
          <w:iCs/>
          <w:sz w:val="20"/>
        </w:rPr>
        <w:t xml:space="preserve"> </w:t>
      </w:r>
    </w:p>
    <w:p w14:paraId="435E050D" w14:textId="77777777" w:rsidR="004C4499" w:rsidRPr="00A73A38" w:rsidRDefault="00C13717" w:rsidP="004C4499">
      <w:pPr>
        <w:pStyle w:val="BodyText"/>
        <w:jc w:val="both"/>
        <w:rPr>
          <w:rFonts w:ascii="Arial" w:hAnsi="Arial" w:cs="Arial"/>
          <w:iCs/>
          <w:sz w:val="20"/>
        </w:rPr>
      </w:pPr>
      <w:r w:rsidRPr="00A73A38">
        <w:rPr>
          <w:rFonts w:ascii="Arial" w:hAnsi="Arial" w:cs="Arial"/>
          <w:iCs/>
          <w:sz w:val="20"/>
        </w:rPr>
        <w:t>Investec Bank plc (</w:t>
      </w:r>
      <w:r w:rsidRPr="00A73A38">
        <w:rPr>
          <w:rFonts w:ascii="Arial" w:hAnsi="Arial" w:cs="Arial"/>
          <w:b/>
          <w:bCs/>
          <w:iCs/>
          <w:sz w:val="20"/>
        </w:rPr>
        <w:t>"Investec"</w:t>
      </w:r>
      <w:r w:rsidRPr="00A73A38">
        <w:rPr>
          <w:rFonts w:ascii="Arial" w:hAnsi="Arial" w:cs="Arial"/>
          <w:iCs/>
          <w:sz w:val="20"/>
        </w:rPr>
        <w:t xml:space="preserve">), which is authorised in the United Kingdom by the PRA and regulated in the UK by the FCA and the PRA, is acting exclusively for </w:t>
      </w:r>
      <w:r>
        <w:rPr>
          <w:rFonts w:ascii="Arial" w:hAnsi="Arial" w:cs="Arial"/>
          <w:iCs/>
          <w:sz w:val="20"/>
        </w:rPr>
        <w:t>Dechra</w:t>
      </w:r>
      <w:r w:rsidRPr="00A73A38">
        <w:rPr>
          <w:rFonts w:ascii="Arial" w:hAnsi="Arial" w:cs="Arial"/>
          <w:iCs/>
          <w:sz w:val="20"/>
        </w:rPr>
        <w:t xml:space="preserve"> and no one else in connection with the Acquisition and shall not be responsible to anyone other than </w:t>
      </w:r>
      <w:r>
        <w:rPr>
          <w:rFonts w:ascii="Arial" w:hAnsi="Arial" w:cs="Arial"/>
          <w:iCs/>
          <w:sz w:val="20"/>
        </w:rPr>
        <w:t>Dechra</w:t>
      </w:r>
      <w:r w:rsidRPr="00A73A38">
        <w:rPr>
          <w:rFonts w:ascii="Arial" w:hAnsi="Arial" w:cs="Arial"/>
          <w:iCs/>
          <w:sz w:val="20"/>
        </w:rPr>
        <w:t xml:space="preserve"> for providing the protections afforded to clients of Investec, nor for providing advice in connection with the Acquisition or any matter referred to herein. </w:t>
      </w:r>
    </w:p>
    <w:p w14:paraId="08F4A762" w14:textId="77777777" w:rsidR="004C4499" w:rsidRPr="00A73A38" w:rsidRDefault="00C13717" w:rsidP="004C4499">
      <w:pPr>
        <w:pStyle w:val="MarginText"/>
        <w:rPr>
          <w:rFonts w:ascii="Arial" w:hAnsi="Arial" w:cs="Arial"/>
          <w:sz w:val="20"/>
        </w:rPr>
      </w:pPr>
      <w:r w:rsidRPr="00A73A38">
        <w:rPr>
          <w:rFonts w:ascii="Arial" w:hAnsi="Arial" w:cs="Arial"/>
          <w:sz w:val="20"/>
        </w:rPr>
        <w:t xml:space="preserve">The statements contained in </w:t>
      </w:r>
      <w:r>
        <w:rPr>
          <w:rFonts w:ascii="Arial" w:hAnsi="Arial" w:cs="Arial"/>
          <w:sz w:val="20"/>
        </w:rPr>
        <w:t>this Announcement</w:t>
      </w:r>
      <w:r w:rsidRPr="00A73A38">
        <w:rPr>
          <w:rFonts w:ascii="Arial" w:hAnsi="Arial" w:cs="Arial"/>
          <w:sz w:val="20"/>
        </w:rPr>
        <w:t xml:space="preserve"> are made as at the date of this </w:t>
      </w:r>
      <w:r>
        <w:rPr>
          <w:rFonts w:ascii="Arial" w:hAnsi="Arial" w:cs="Arial"/>
          <w:sz w:val="20"/>
        </w:rPr>
        <w:t>Announcement</w:t>
      </w:r>
      <w:r w:rsidRPr="00A73A38">
        <w:rPr>
          <w:rFonts w:ascii="Arial" w:hAnsi="Arial" w:cs="Arial"/>
          <w:sz w:val="20"/>
        </w:rPr>
        <w:t xml:space="preserve">, unless some other time is specified in relation to them, and service of this </w:t>
      </w:r>
      <w:r>
        <w:rPr>
          <w:rFonts w:ascii="Arial" w:hAnsi="Arial" w:cs="Arial"/>
          <w:sz w:val="20"/>
        </w:rPr>
        <w:t xml:space="preserve">Announcement </w:t>
      </w:r>
      <w:r w:rsidRPr="00A73A38">
        <w:rPr>
          <w:rFonts w:ascii="Arial" w:hAnsi="Arial" w:cs="Arial"/>
          <w:sz w:val="20"/>
        </w:rPr>
        <w:t xml:space="preserve">shall not give rise to any implication that there has been no change in the facts set forth in this </w:t>
      </w:r>
      <w:r>
        <w:rPr>
          <w:rFonts w:ascii="Arial" w:hAnsi="Arial" w:cs="Arial"/>
          <w:sz w:val="20"/>
        </w:rPr>
        <w:t xml:space="preserve">Announcement </w:t>
      </w:r>
      <w:r w:rsidRPr="00A73A38">
        <w:rPr>
          <w:rFonts w:ascii="Arial" w:hAnsi="Arial" w:cs="Arial"/>
          <w:sz w:val="20"/>
        </w:rPr>
        <w:t xml:space="preserve">since such date. </w:t>
      </w:r>
    </w:p>
    <w:p w14:paraId="2CC5FE0B" w14:textId="77777777" w:rsidR="004C4499" w:rsidRDefault="00C13717" w:rsidP="004C4499">
      <w:pPr>
        <w:pStyle w:val="MarginText"/>
        <w:rPr>
          <w:rFonts w:ascii="Arial" w:hAnsi="Arial" w:cs="Arial"/>
          <w:sz w:val="20"/>
        </w:rPr>
      </w:pPr>
      <w:r w:rsidRPr="00A73A38">
        <w:rPr>
          <w:rFonts w:ascii="Arial" w:hAnsi="Arial" w:cs="Arial"/>
          <w:sz w:val="20"/>
        </w:rPr>
        <w:t xml:space="preserve">The statements contained in this </w:t>
      </w:r>
      <w:r>
        <w:rPr>
          <w:rFonts w:ascii="Arial" w:hAnsi="Arial" w:cs="Arial"/>
          <w:sz w:val="20"/>
        </w:rPr>
        <w:t xml:space="preserve">Announcement </w:t>
      </w:r>
      <w:r w:rsidRPr="00A73A38">
        <w:rPr>
          <w:rFonts w:ascii="Arial" w:hAnsi="Arial" w:cs="Arial"/>
          <w:sz w:val="20"/>
        </w:rPr>
        <w:t xml:space="preserve">are not to be construed as legal, business, financial or tax advice. </w:t>
      </w:r>
    </w:p>
    <w:p w14:paraId="42AFC29D" w14:textId="77777777" w:rsidR="004C4499" w:rsidRPr="00A73A38" w:rsidRDefault="00C13717" w:rsidP="004C4499">
      <w:pPr>
        <w:pStyle w:val="MarginText"/>
        <w:rPr>
          <w:rFonts w:ascii="Arial" w:hAnsi="Arial" w:cs="Arial"/>
          <w:sz w:val="20"/>
        </w:rPr>
      </w:pPr>
      <w:bookmarkStart w:id="5" w:name="_Hlk152253710"/>
      <w:r w:rsidRPr="003638BB">
        <w:rPr>
          <w:rFonts w:ascii="Arial" w:hAnsi="Arial" w:cs="Arial"/>
          <w:sz w:val="20"/>
        </w:rPr>
        <w:t xml:space="preserve">This </w:t>
      </w:r>
      <w:r>
        <w:rPr>
          <w:rFonts w:ascii="Arial" w:hAnsi="Arial" w:cs="Arial"/>
          <w:sz w:val="20"/>
        </w:rPr>
        <w:t>A</w:t>
      </w:r>
      <w:r w:rsidRPr="003638BB">
        <w:rPr>
          <w:rFonts w:ascii="Arial" w:hAnsi="Arial" w:cs="Arial"/>
          <w:sz w:val="20"/>
        </w:rPr>
        <w:t xml:space="preserve">nnouncement is for information purposes only and is not intended to, and does not, constitute, or form part of, an offer, invitation or the solicitation of an offer to purchase, otherwise acquire, subscribe for, sell or otherwise dispose of, any securities or the solicitation of any vote or approval in any jurisdiction pursuant to the Acquisition or otherwise, nor shall there be any sale, issuance or transfer of securities of </w:t>
      </w:r>
      <w:r>
        <w:rPr>
          <w:rFonts w:ascii="Arial" w:hAnsi="Arial" w:cs="Arial"/>
          <w:sz w:val="20"/>
        </w:rPr>
        <w:t>Dechra</w:t>
      </w:r>
      <w:r w:rsidRPr="003638BB">
        <w:rPr>
          <w:rFonts w:ascii="Arial" w:hAnsi="Arial" w:cs="Arial"/>
          <w:sz w:val="20"/>
        </w:rPr>
        <w:t xml:space="preserve"> in any jurisdiction in contravention of applicable law. The Acquisition will be implemented solely pursuant to the terms of the Scheme Document (or, if the Acquisition is </w:t>
      </w:r>
      <w:r w:rsidRPr="003638BB">
        <w:rPr>
          <w:rFonts w:ascii="Arial" w:hAnsi="Arial" w:cs="Arial"/>
          <w:sz w:val="20"/>
        </w:rPr>
        <w:lastRenderedPageBreak/>
        <w:t xml:space="preserve">implemented by way of an Offer, the offer document), which </w:t>
      </w:r>
      <w:r>
        <w:rPr>
          <w:rFonts w:ascii="Arial" w:hAnsi="Arial" w:cs="Arial"/>
          <w:sz w:val="20"/>
        </w:rPr>
        <w:t>contains</w:t>
      </w:r>
      <w:r w:rsidRPr="003638BB">
        <w:rPr>
          <w:rFonts w:ascii="Arial" w:hAnsi="Arial" w:cs="Arial"/>
          <w:sz w:val="20"/>
        </w:rPr>
        <w:t xml:space="preserve"> the full terms and conditions of the Acquisition, including details of how to vote in respect of the Acquisition. Any vote in respect of the Scheme or other response in relation to the Acquisition should be made only on the basis of the information contained in the Scheme Document (or, if the Acquisition is implemented by way of an Offer, the offer document).</w:t>
      </w:r>
      <w:r>
        <w:rPr>
          <w:rFonts w:ascii="Arial" w:hAnsi="Arial" w:cs="Arial"/>
          <w:sz w:val="20"/>
        </w:rPr>
        <w:t xml:space="preserve"> This Announcement does not constitute a prospectus or prospectus-equivalent document.</w:t>
      </w:r>
    </w:p>
    <w:bookmarkEnd w:id="5"/>
    <w:p w14:paraId="6BC9D9F9" w14:textId="77777777" w:rsidR="004C4499" w:rsidRPr="00A73A38" w:rsidRDefault="00C13717" w:rsidP="004C4499">
      <w:pPr>
        <w:pStyle w:val="MarginText"/>
        <w:rPr>
          <w:rFonts w:ascii="Arial" w:hAnsi="Arial" w:cs="Arial"/>
          <w:sz w:val="20"/>
        </w:rPr>
      </w:pPr>
      <w:r w:rsidRPr="00A73A38">
        <w:rPr>
          <w:rFonts w:ascii="Arial" w:hAnsi="Arial" w:cs="Arial"/>
          <w:sz w:val="20"/>
        </w:rPr>
        <w:t xml:space="preserve">The information contained herein does not constitute an offer to sell, nor a solicitation of an offer to buy, any security, and may not be used or relied upon in connection with any offer or solicitation. Any offer or solicitation in respect of </w:t>
      </w:r>
      <w:r>
        <w:rPr>
          <w:rFonts w:ascii="Arial" w:hAnsi="Arial" w:cs="Arial"/>
          <w:sz w:val="20"/>
        </w:rPr>
        <w:t>EQT</w:t>
      </w:r>
      <w:r w:rsidRPr="00A73A38">
        <w:rPr>
          <w:rFonts w:ascii="Arial" w:hAnsi="Arial" w:cs="Arial"/>
          <w:sz w:val="20"/>
        </w:rPr>
        <w:t xml:space="preserve"> and </w:t>
      </w:r>
      <w:r>
        <w:rPr>
          <w:rFonts w:ascii="Arial" w:hAnsi="Arial" w:cs="Arial"/>
          <w:sz w:val="20"/>
        </w:rPr>
        <w:t>EQT</w:t>
      </w:r>
      <w:r w:rsidRPr="00A73A38">
        <w:rPr>
          <w:rFonts w:ascii="Arial" w:hAnsi="Arial" w:cs="Arial"/>
          <w:sz w:val="20"/>
        </w:rPr>
        <w:t xml:space="preserve"> Funds will be made only through a confidential private placement memorandum and related documents which will be furnished to qualified investors on a confidential basis in accordance with applicable laws and regulations. The information contained herein is not for publication or distribution to persons in the U.S. Any securities referred to herein have not been and will not be registered under the U.S. Securities Act of 1933, as amended, and may not be offered or sold without registration thereunder or pursuant to an available exemption therefrom. Any offering of securities to be made in the U.S. would have to be made by means of an offering document that would be obtainable from the issuer or its agents and would contain detailed information about the issuer of the securities and its management, as well as financial information. The securities may not be offered or sold in the U.S. absent registration or an exemption from registration.</w:t>
      </w:r>
    </w:p>
    <w:p w14:paraId="39BC1699" w14:textId="77777777" w:rsidR="004C4499" w:rsidRDefault="00C13717" w:rsidP="004C4499">
      <w:pPr>
        <w:pStyle w:val="MarginText"/>
        <w:rPr>
          <w:rFonts w:ascii="Arial" w:hAnsi="Arial" w:cs="Arial"/>
          <w:sz w:val="20"/>
        </w:rPr>
      </w:pPr>
      <w:r w:rsidRPr="00A73A38">
        <w:rPr>
          <w:rFonts w:ascii="Arial" w:hAnsi="Arial" w:cs="Arial"/>
          <w:sz w:val="20"/>
        </w:rPr>
        <w:t>The Acquisition will be subject to English law, the jurisdiction of the Court, and the applicable requirements of the Takeover Code, the Panel, the London Stock Exchange, the FCA, the Listing Rules and the Registrar of Companies.</w:t>
      </w:r>
    </w:p>
    <w:p w14:paraId="7FBBD035" w14:textId="77777777" w:rsidR="004C4499" w:rsidRPr="00A73A38" w:rsidRDefault="00C13717" w:rsidP="004C4499">
      <w:pPr>
        <w:pStyle w:val="MarginText"/>
        <w:rPr>
          <w:rFonts w:ascii="Arial" w:hAnsi="Arial" w:cs="Arial"/>
          <w:sz w:val="20"/>
        </w:rPr>
      </w:pPr>
      <w:r w:rsidRPr="000E7073">
        <w:rPr>
          <w:rFonts w:ascii="Arial" w:hAnsi="Arial" w:cs="Arial"/>
          <w:sz w:val="20"/>
        </w:rPr>
        <w:t xml:space="preserve">If you are in any doubt about the contents of this </w:t>
      </w:r>
      <w:r>
        <w:rPr>
          <w:rFonts w:ascii="Arial" w:hAnsi="Arial" w:cs="Arial"/>
          <w:sz w:val="20"/>
        </w:rPr>
        <w:t>Announcement</w:t>
      </w:r>
      <w:r w:rsidRPr="000E7073">
        <w:rPr>
          <w:rFonts w:ascii="Arial" w:hAnsi="Arial" w:cs="Arial"/>
          <w:sz w:val="20"/>
        </w:rPr>
        <w:t xml:space="preserve"> or the action you should take, you are recommended to seek your own personal, financial, tax and legal advice from your stockbroker, bank manager, solicitor, accountant or other independent professional adviser duly authorised under the Financial Services and Markets Act 2000 (as amended) if you are in the United Kingdom, or from another appropriately authorised independent financial adviser if you are taking advice in a territory outside the United Kingdom</w:t>
      </w:r>
      <w:r>
        <w:rPr>
          <w:rFonts w:ascii="Arial" w:hAnsi="Arial" w:cs="Arial"/>
          <w:sz w:val="20"/>
        </w:rPr>
        <w:t>.</w:t>
      </w:r>
    </w:p>
    <w:p w14:paraId="632F7F48" w14:textId="77777777" w:rsidR="004C4499" w:rsidRPr="00A73A38" w:rsidRDefault="00C13717" w:rsidP="004C4499">
      <w:pPr>
        <w:pStyle w:val="FWNCont1"/>
        <w:keepNext/>
        <w:rPr>
          <w:rFonts w:ascii="Arial" w:hAnsi="Arial" w:cs="Arial"/>
          <w:b/>
          <w:iCs/>
          <w:sz w:val="20"/>
        </w:rPr>
      </w:pPr>
      <w:bookmarkStart w:id="6" w:name="_Hlk152253908"/>
      <w:r w:rsidRPr="00A73A38">
        <w:rPr>
          <w:rFonts w:ascii="Arial" w:hAnsi="Arial" w:cs="Arial"/>
          <w:b/>
          <w:iCs/>
          <w:sz w:val="20"/>
        </w:rPr>
        <w:t>Overseas Shareholders</w:t>
      </w:r>
    </w:p>
    <w:p w14:paraId="3032DB14" w14:textId="77777777" w:rsidR="004C4499" w:rsidRPr="00A73A38" w:rsidRDefault="00C13717" w:rsidP="004C4499">
      <w:pPr>
        <w:pStyle w:val="MarginText"/>
        <w:rPr>
          <w:rFonts w:ascii="Arial" w:hAnsi="Arial" w:cs="Arial"/>
          <w:sz w:val="20"/>
        </w:rPr>
      </w:pPr>
      <w:r w:rsidRPr="00A73A38">
        <w:rPr>
          <w:rFonts w:ascii="Arial" w:hAnsi="Arial" w:cs="Arial"/>
          <w:sz w:val="20"/>
        </w:rPr>
        <w:t xml:space="preserve">The release, publication or distribution of this </w:t>
      </w:r>
      <w:r>
        <w:rPr>
          <w:rFonts w:ascii="Arial" w:hAnsi="Arial" w:cs="Arial"/>
          <w:sz w:val="20"/>
        </w:rPr>
        <w:t xml:space="preserve">Announcement </w:t>
      </w:r>
      <w:r w:rsidRPr="00A73A38">
        <w:rPr>
          <w:rFonts w:ascii="Arial" w:hAnsi="Arial" w:cs="Arial"/>
          <w:sz w:val="20"/>
        </w:rPr>
        <w:t xml:space="preserve">in or into jurisdictions other than the UK may be restricted by law and therefore any persons </w:t>
      </w:r>
      <w:bookmarkStart w:id="7" w:name="_Hlk136995326"/>
      <w:r w:rsidRPr="00A73A38">
        <w:rPr>
          <w:rFonts w:ascii="Arial" w:hAnsi="Arial" w:cs="Arial"/>
          <w:sz w:val="20"/>
        </w:rPr>
        <w:t xml:space="preserve">who are subject to the law of any jurisdiction other than the UK </w:t>
      </w:r>
      <w:bookmarkEnd w:id="7"/>
      <w:r w:rsidRPr="00A73A38">
        <w:rPr>
          <w:rFonts w:ascii="Arial" w:hAnsi="Arial" w:cs="Arial"/>
          <w:sz w:val="20"/>
        </w:rPr>
        <w:t xml:space="preserve">should inform themselves of, and observe, </w:t>
      </w:r>
      <w:bookmarkStart w:id="8" w:name="_Hlk136995340"/>
      <w:r w:rsidRPr="00A73A38">
        <w:rPr>
          <w:rFonts w:ascii="Arial" w:hAnsi="Arial" w:cs="Arial"/>
          <w:sz w:val="20"/>
        </w:rPr>
        <w:t>any applicable legal or regulatory requirements</w:t>
      </w:r>
      <w:bookmarkEnd w:id="8"/>
      <w:r w:rsidRPr="00A73A38">
        <w:rPr>
          <w:rFonts w:ascii="Arial" w:hAnsi="Arial" w:cs="Arial"/>
          <w:sz w:val="20"/>
        </w:rPr>
        <w:t xml:space="preserve">. Any failure to comply with </w:t>
      </w:r>
      <w:bookmarkStart w:id="9" w:name="_Hlk136995358"/>
      <w:r w:rsidRPr="00A73A38">
        <w:rPr>
          <w:rFonts w:ascii="Arial" w:hAnsi="Arial" w:cs="Arial"/>
          <w:sz w:val="20"/>
        </w:rPr>
        <w:t xml:space="preserve">such requirements </w:t>
      </w:r>
      <w:bookmarkEnd w:id="9"/>
      <w:r w:rsidRPr="00A73A38">
        <w:rPr>
          <w:rFonts w:ascii="Arial" w:hAnsi="Arial" w:cs="Arial"/>
          <w:sz w:val="20"/>
        </w:rPr>
        <w:t xml:space="preserve">may constitute a violation of the securities laws of any such jurisdiction. To the fullest extent permitted by applicable law, the companies and persons involved in the Acquisition disclaim any responsibility or liability for the violation of such restrictions by any person. This </w:t>
      </w:r>
      <w:r>
        <w:rPr>
          <w:rFonts w:ascii="Arial" w:hAnsi="Arial" w:cs="Arial"/>
          <w:sz w:val="20"/>
        </w:rPr>
        <w:t xml:space="preserve">Announcement </w:t>
      </w:r>
      <w:r w:rsidRPr="00A73A38">
        <w:rPr>
          <w:rFonts w:ascii="Arial" w:hAnsi="Arial" w:cs="Arial"/>
          <w:sz w:val="20"/>
        </w:rPr>
        <w:t>has been prepared in accordance with and for the purpose of complying with English law, the Takeover Code, the Market Abuse Regulation, the Listing Rules and the Disclosure Guidance and Transparency Rules and information disclosed may not be the same as that which would have been prepared in accordance with the laws of jurisdictions outside England.</w:t>
      </w:r>
    </w:p>
    <w:bookmarkEnd w:id="6"/>
    <w:p w14:paraId="2A0B53A7" w14:textId="77777777" w:rsidR="004C4499" w:rsidRPr="00A73A38" w:rsidRDefault="00C13717" w:rsidP="004C4499">
      <w:pPr>
        <w:pStyle w:val="MarginText"/>
        <w:rPr>
          <w:rFonts w:ascii="Arial" w:hAnsi="Arial" w:cs="Arial"/>
          <w:sz w:val="20"/>
        </w:rPr>
      </w:pPr>
      <w:r w:rsidRPr="00A73A38">
        <w:rPr>
          <w:rFonts w:ascii="Arial" w:hAnsi="Arial" w:cs="Arial"/>
          <w:sz w:val="20"/>
        </w:rPr>
        <w:t xml:space="preserve">The availability of the Acquisition to </w:t>
      </w:r>
      <w:r>
        <w:rPr>
          <w:rFonts w:ascii="Arial" w:hAnsi="Arial" w:cs="Arial"/>
          <w:sz w:val="20"/>
        </w:rPr>
        <w:t>Dechra</w:t>
      </w:r>
      <w:r w:rsidRPr="00A73A38">
        <w:rPr>
          <w:rFonts w:ascii="Arial" w:hAnsi="Arial" w:cs="Arial"/>
          <w:sz w:val="20"/>
        </w:rPr>
        <w:t xml:space="preserve"> Shareholders who are not resident in and citizens of the UK may be affected by the laws of the relevant jurisdictions in which they are located or of which they are citizens. Persons who are not resident in the UK should inform themselves of, and observe, any applicable legal or regulatory requirements of their jurisdictions. In particular, the ability of persons who are not resident in the United Kingdom to vote their </w:t>
      </w:r>
      <w:r>
        <w:rPr>
          <w:rFonts w:ascii="Arial" w:hAnsi="Arial" w:cs="Arial"/>
          <w:sz w:val="20"/>
        </w:rPr>
        <w:t>Dechra</w:t>
      </w:r>
      <w:r w:rsidRPr="00A73A38">
        <w:rPr>
          <w:rFonts w:ascii="Arial" w:hAnsi="Arial" w:cs="Arial"/>
          <w:sz w:val="20"/>
        </w:rPr>
        <w:t xml:space="preserve"> Shares with respect to the Scheme at the Court Meeting, or to appoint another person as proxy to vote at the Court Meeting on their behalf, may be affected by the laws of the relevant jurisdictions in which they are located. Any failure to comply with the applicable restrictions may constitute a violation of the securities laws of any such jurisdiction. To the fullest extent permitted by applicable law, the companies and persons involved in the Acquisition disclaim any responsibility or liability for the violation of such restrictions by any person. </w:t>
      </w:r>
    </w:p>
    <w:p w14:paraId="0F94E8CA" w14:textId="77777777" w:rsidR="004C4499" w:rsidRDefault="00C13717" w:rsidP="004C4499">
      <w:pPr>
        <w:pStyle w:val="MarginText"/>
        <w:rPr>
          <w:rFonts w:ascii="Arial" w:hAnsi="Arial" w:cs="Arial"/>
          <w:sz w:val="20"/>
        </w:rPr>
      </w:pPr>
      <w:r w:rsidRPr="00A73A38">
        <w:rPr>
          <w:rFonts w:ascii="Arial" w:hAnsi="Arial" w:cs="Arial"/>
          <w:sz w:val="20"/>
        </w:rPr>
        <w:t xml:space="preserve">Unless otherwise determined by Bidco or required by the Takeover Code, and permitted by applicable law and regulation, the Acquisition will not be made available, directly or indirectly, in, into or from a Restricted Jurisdiction </w:t>
      </w:r>
      <w:r>
        <w:rPr>
          <w:rFonts w:ascii="Arial" w:hAnsi="Arial" w:cs="Arial"/>
          <w:sz w:val="20"/>
        </w:rPr>
        <w:t xml:space="preserve">or any other jurisdiction </w:t>
      </w:r>
      <w:r w:rsidRPr="00A73A38">
        <w:rPr>
          <w:rFonts w:ascii="Arial" w:hAnsi="Arial" w:cs="Arial"/>
          <w:sz w:val="20"/>
        </w:rPr>
        <w:t xml:space="preserve">where to do so would violate the laws in that jurisdiction and no person may vote in favour of the Scheme by any such use, means, instrumentality or </w:t>
      </w:r>
      <w:r>
        <w:rPr>
          <w:rFonts w:ascii="Arial" w:hAnsi="Arial" w:cs="Arial"/>
          <w:sz w:val="20"/>
        </w:rPr>
        <w:t>form</w:t>
      </w:r>
      <w:r w:rsidRPr="00A73A38">
        <w:rPr>
          <w:rFonts w:ascii="Arial" w:hAnsi="Arial" w:cs="Arial"/>
          <w:sz w:val="20"/>
        </w:rPr>
        <w:t xml:space="preserve"> within a Restricted Jurisdiction or any other jurisdiction if to do so would constitute a violation of the laws of that jurisdiction. Copies of this </w:t>
      </w:r>
      <w:r>
        <w:rPr>
          <w:rFonts w:ascii="Arial" w:hAnsi="Arial" w:cs="Arial"/>
          <w:sz w:val="20"/>
        </w:rPr>
        <w:t>Announcement</w:t>
      </w:r>
      <w:r w:rsidRPr="00A73A38">
        <w:rPr>
          <w:rFonts w:ascii="Arial" w:hAnsi="Arial" w:cs="Arial"/>
          <w:sz w:val="20"/>
        </w:rPr>
        <w:t xml:space="preserve"> and any formal documentation relating to the Acquisition are not being, and must not be, directly or indirectly, mailed or otherwise forwarded, distributed or sent </w:t>
      </w:r>
      <w:r w:rsidRPr="00A73A38">
        <w:rPr>
          <w:rFonts w:ascii="Arial" w:hAnsi="Arial" w:cs="Arial"/>
          <w:sz w:val="20"/>
        </w:rPr>
        <w:lastRenderedPageBreak/>
        <w:t>in or into or from any Restricted Jurisdiction</w:t>
      </w:r>
      <w:r>
        <w:rPr>
          <w:rFonts w:ascii="Arial" w:hAnsi="Arial" w:cs="Arial"/>
          <w:sz w:val="20"/>
        </w:rPr>
        <w:t xml:space="preserve"> or any other jurisdiction where to do so would violate the laws of that jurisdiction</w:t>
      </w:r>
      <w:r w:rsidRPr="00A73A38">
        <w:rPr>
          <w:rFonts w:ascii="Arial" w:hAnsi="Arial" w:cs="Arial"/>
          <w:sz w:val="20"/>
        </w:rPr>
        <w:t xml:space="preserve"> and persons receiving such documents (including, without limitation, agents, custodians, nominees and trustees) must not mail or otherwise forward, distribute or send </w:t>
      </w:r>
      <w:r>
        <w:rPr>
          <w:rFonts w:ascii="Arial" w:hAnsi="Arial" w:cs="Arial"/>
          <w:sz w:val="20"/>
        </w:rPr>
        <w:t>them</w:t>
      </w:r>
      <w:r w:rsidRPr="00A73A38">
        <w:rPr>
          <w:rFonts w:ascii="Arial" w:hAnsi="Arial" w:cs="Arial"/>
          <w:sz w:val="20"/>
        </w:rPr>
        <w:t xml:space="preserve"> in or into or from any Restricted Jurisdiction. Doing so may render invalid any related purported vote in respect of the Acquisition. If the Acquisition is implemented by way of an Offer (unless otherwise permitted by applicable law and regulation), the Offer may not be made directly or indirectly, in or into, or by the use of mails or any means or instrumentality (including, but not limited to, facsimile, e-mail or other electronic transmission, telex or telephone) of interstate or foreign commerce of, or of any facility of a national, state or other securities exchange of any Restricted Jurisdiction and the Offer may not be capable of acceptance by any such use, means, instrumentality or facilities.</w:t>
      </w:r>
    </w:p>
    <w:p w14:paraId="5EB34CEC" w14:textId="77777777" w:rsidR="004C4499" w:rsidRPr="00A73A38" w:rsidRDefault="00C13717" w:rsidP="004C4499">
      <w:pPr>
        <w:pStyle w:val="MarginText"/>
        <w:rPr>
          <w:rFonts w:ascii="Arial" w:hAnsi="Arial" w:cs="Arial"/>
          <w:sz w:val="20"/>
        </w:rPr>
      </w:pPr>
      <w:r>
        <w:rPr>
          <w:rFonts w:ascii="Arial" w:hAnsi="Arial" w:cs="Arial"/>
          <w:sz w:val="20"/>
        </w:rPr>
        <w:t xml:space="preserve">Further details in relation to overseas shareholders are included in the Scheme Document (or, if the Acquisition is implemented by way of an Offer, will be included in the offer document). </w:t>
      </w:r>
    </w:p>
    <w:p w14:paraId="1F9AD4C6" w14:textId="77777777" w:rsidR="004C4499" w:rsidRPr="00A73A38" w:rsidRDefault="00C13717" w:rsidP="004C4499">
      <w:pPr>
        <w:pStyle w:val="MarginText"/>
        <w:keepNext/>
        <w:rPr>
          <w:rFonts w:ascii="Arial" w:hAnsi="Arial" w:cs="Arial"/>
          <w:b/>
          <w:sz w:val="20"/>
        </w:rPr>
      </w:pPr>
      <w:bookmarkStart w:id="10" w:name="_Hlk152253954"/>
      <w:r w:rsidRPr="00A73A38">
        <w:rPr>
          <w:rFonts w:ascii="Arial" w:hAnsi="Arial" w:cs="Arial"/>
          <w:b/>
          <w:sz w:val="20"/>
        </w:rPr>
        <w:t xml:space="preserve">Notice to U.S. </w:t>
      </w:r>
      <w:r>
        <w:rPr>
          <w:rFonts w:ascii="Arial" w:hAnsi="Arial" w:cs="Arial"/>
          <w:b/>
          <w:sz w:val="20"/>
        </w:rPr>
        <w:t>Dechra</w:t>
      </w:r>
      <w:r w:rsidRPr="00A73A38">
        <w:rPr>
          <w:rFonts w:ascii="Arial" w:hAnsi="Arial" w:cs="Arial"/>
          <w:b/>
          <w:sz w:val="20"/>
        </w:rPr>
        <w:t xml:space="preserve"> Shareholders</w:t>
      </w:r>
    </w:p>
    <w:p w14:paraId="11E17E02" w14:textId="23DE773A" w:rsidR="004C4499" w:rsidRPr="00A73A38" w:rsidRDefault="00C13717" w:rsidP="004C4499">
      <w:pPr>
        <w:pStyle w:val="MarginText"/>
        <w:rPr>
          <w:rFonts w:ascii="Arial" w:hAnsi="Arial" w:cs="Arial"/>
          <w:sz w:val="20"/>
        </w:rPr>
      </w:pPr>
      <w:r w:rsidRPr="00A73A38">
        <w:rPr>
          <w:rFonts w:ascii="Arial" w:hAnsi="Arial" w:cs="Arial"/>
          <w:sz w:val="20"/>
        </w:rPr>
        <w:t xml:space="preserve">The Acquisition relates to the shares of an English company and is being made by means of a scheme of arrangement provided for under the laws of England and Wales. A transaction effected by means of a scheme of arrangement is not subject to the tender offer or proxy solicitation rules under </w:t>
      </w:r>
      <w:bookmarkStart w:id="11" w:name="_Hlk136995608"/>
      <w:r w:rsidRPr="00A73A38">
        <w:rPr>
          <w:rFonts w:ascii="Arial" w:hAnsi="Arial" w:cs="Arial"/>
          <w:sz w:val="20"/>
        </w:rPr>
        <w:t>the U.S. Securities Exchange Act of 1934</w:t>
      </w:r>
      <w:r>
        <w:rPr>
          <w:rFonts w:ascii="Arial" w:hAnsi="Arial" w:cs="Arial"/>
          <w:sz w:val="20"/>
        </w:rPr>
        <w:t xml:space="preserve"> (the “</w:t>
      </w:r>
      <w:r w:rsidRPr="007500BD">
        <w:rPr>
          <w:rFonts w:ascii="Arial" w:hAnsi="Arial" w:cs="Arial"/>
          <w:b/>
          <w:bCs/>
          <w:sz w:val="20"/>
        </w:rPr>
        <w:t>U.S. Exchange Act</w:t>
      </w:r>
      <w:r>
        <w:rPr>
          <w:rFonts w:ascii="Arial" w:hAnsi="Arial" w:cs="Arial"/>
          <w:sz w:val="20"/>
        </w:rPr>
        <w:t>”)</w:t>
      </w:r>
      <w:r w:rsidRPr="00A73A38">
        <w:rPr>
          <w:rFonts w:ascii="Arial" w:hAnsi="Arial" w:cs="Arial"/>
          <w:sz w:val="20"/>
        </w:rPr>
        <w:t xml:space="preserve">. </w:t>
      </w:r>
      <w:bookmarkEnd w:id="11"/>
      <w:r w:rsidRPr="00A73A38">
        <w:rPr>
          <w:rFonts w:ascii="Arial" w:hAnsi="Arial" w:cs="Arial"/>
          <w:sz w:val="20"/>
        </w:rPr>
        <w:t xml:space="preserve">Accordingly, the </w:t>
      </w:r>
      <w:r w:rsidR="005E59FB">
        <w:rPr>
          <w:rFonts w:ascii="Arial" w:hAnsi="Arial" w:cs="Arial"/>
          <w:sz w:val="20"/>
        </w:rPr>
        <w:t>Acquisition</w:t>
      </w:r>
      <w:r w:rsidR="005E59FB" w:rsidRPr="00A73A38">
        <w:rPr>
          <w:rFonts w:ascii="Arial" w:hAnsi="Arial" w:cs="Arial"/>
          <w:sz w:val="20"/>
        </w:rPr>
        <w:t xml:space="preserve"> </w:t>
      </w:r>
      <w:r w:rsidRPr="00A73A38">
        <w:rPr>
          <w:rFonts w:ascii="Arial" w:hAnsi="Arial" w:cs="Arial"/>
          <w:sz w:val="20"/>
        </w:rPr>
        <w:t xml:space="preserve">is subject to the disclosure requirements and practices applicable in the UK to schemes of arrangement which differ from the disclosure requirements </w:t>
      </w:r>
      <w:bookmarkStart w:id="12" w:name="_Hlk136995664"/>
      <w:r w:rsidRPr="00A73A38">
        <w:rPr>
          <w:rFonts w:ascii="Arial" w:hAnsi="Arial" w:cs="Arial"/>
          <w:sz w:val="20"/>
        </w:rPr>
        <w:t>of the U.S. tender offer and proxy solicitation rules</w:t>
      </w:r>
      <w:bookmarkEnd w:id="12"/>
      <w:r w:rsidRPr="00A73A38">
        <w:rPr>
          <w:rFonts w:ascii="Arial" w:hAnsi="Arial" w:cs="Arial"/>
          <w:sz w:val="20"/>
        </w:rPr>
        <w:t xml:space="preserve">. The financial information included in this </w:t>
      </w:r>
      <w:r>
        <w:rPr>
          <w:rFonts w:ascii="Arial" w:hAnsi="Arial" w:cs="Arial"/>
          <w:sz w:val="20"/>
        </w:rPr>
        <w:t xml:space="preserve">Announcement </w:t>
      </w:r>
      <w:r w:rsidR="00FD6159">
        <w:rPr>
          <w:rFonts w:ascii="Arial" w:hAnsi="Arial" w:cs="Arial"/>
          <w:sz w:val="20"/>
        </w:rPr>
        <w:t xml:space="preserve">and the Scheme Document </w:t>
      </w:r>
      <w:r w:rsidR="002D5F37">
        <w:rPr>
          <w:rFonts w:ascii="Arial" w:hAnsi="Arial" w:cs="Arial"/>
          <w:sz w:val="20"/>
        </w:rPr>
        <w:t>has</w:t>
      </w:r>
      <w:r w:rsidR="002D5F37" w:rsidRPr="00A73A38">
        <w:rPr>
          <w:rFonts w:ascii="Arial" w:hAnsi="Arial" w:cs="Arial"/>
          <w:sz w:val="20"/>
        </w:rPr>
        <w:t xml:space="preserve"> </w:t>
      </w:r>
      <w:r w:rsidRPr="00A73A38">
        <w:rPr>
          <w:rFonts w:ascii="Arial" w:hAnsi="Arial" w:cs="Arial"/>
          <w:sz w:val="20"/>
        </w:rPr>
        <w:t xml:space="preserve">been prepared in accordance with generally accepted accounting principles of the United Kingdom and thus may not be comparable to financial information of U.S. companies or companies whose financial statements are prepared in accordance with generally accepted accounting principles in the United States. </w:t>
      </w:r>
    </w:p>
    <w:p w14:paraId="12ABD08C" w14:textId="77777777" w:rsidR="004C4499" w:rsidRPr="00A73A38" w:rsidRDefault="00C13717" w:rsidP="004C4499">
      <w:pPr>
        <w:pStyle w:val="MarginText"/>
        <w:rPr>
          <w:rFonts w:ascii="Arial" w:hAnsi="Arial" w:cs="Arial"/>
          <w:sz w:val="20"/>
        </w:rPr>
      </w:pPr>
      <w:r w:rsidRPr="00A73A38">
        <w:rPr>
          <w:rFonts w:ascii="Arial" w:hAnsi="Arial" w:cs="Arial"/>
          <w:sz w:val="20"/>
        </w:rPr>
        <w:t>If, in the future, Bidco exercises its right to implement the Acquisition by way of an Offer, which is to be made into the United States, such Offer will be made in compliance with the applicable U.S. laws and regulations.</w:t>
      </w:r>
    </w:p>
    <w:p w14:paraId="646C38B7" w14:textId="77777777" w:rsidR="004C4499" w:rsidRPr="00A73A38" w:rsidRDefault="00C13717" w:rsidP="004C4499">
      <w:pPr>
        <w:pStyle w:val="MarginText"/>
        <w:rPr>
          <w:rFonts w:ascii="Arial" w:hAnsi="Arial" w:cs="Arial"/>
          <w:sz w:val="20"/>
        </w:rPr>
      </w:pPr>
      <w:r w:rsidRPr="00A73A38">
        <w:rPr>
          <w:rFonts w:ascii="Arial" w:hAnsi="Arial" w:cs="Arial"/>
          <w:sz w:val="20"/>
        </w:rPr>
        <w:t xml:space="preserve">It may be difficult for U.S. holders of </w:t>
      </w:r>
      <w:r>
        <w:rPr>
          <w:rFonts w:ascii="Arial" w:hAnsi="Arial" w:cs="Arial"/>
          <w:sz w:val="20"/>
        </w:rPr>
        <w:t>Dechra</w:t>
      </w:r>
      <w:r w:rsidRPr="00A73A38">
        <w:rPr>
          <w:rFonts w:ascii="Arial" w:hAnsi="Arial" w:cs="Arial"/>
          <w:sz w:val="20"/>
        </w:rPr>
        <w:t xml:space="preserve"> Shares to enforce their rights and any claim arising out of the U.S. federal laws, since Bidco and </w:t>
      </w:r>
      <w:r>
        <w:rPr>
          <w:rFonts w:ascii="Arial" w:hAnsi="Arial" w:cs="Arial"/>
          <w:sz w:val="20"/>
        </w:rPr>
        <w:t>Dechra</w:t>
      </w:r>
      <w:r w:rsidRPr="00A73A38">
        <w:rPr>
          <w:rFonts w:ascii="Arial" w:hAnsi="Arial" w:cs="Arial"/>
          <w:sz w:val="20"/>
        </w:rPr>
        <w:t xml:space="preserve"> are located in a non-U.S. jurisdiction, and some or all of their officers and directors may be residents of a non-U.S. jurisdiction. U.S. holders of </w:t>
      </w:r>
      <w:r>
        <w:rPr>
          <w:rFonts w:ascii="Arial" w:hAnsi="Arial" w:cs="Arial"/>
          <w:sz w:val="20"/>
        </w:rPr>
        <w:t>Dechra</w:t>
      </w:r>
      <w:r w:rsidRPr="00A73A38">
        <w:rPr>
          <w:rFonts w:ascii="Arial" w:hAnsi="Arial" w:cs="Arial"/>
          <w:sz w:val="20"/>
        </w:rPr>
        <w:t xml:space="preserve"> Shares may not be able to sue a non-U.S. company or its officers or directors in a non-U.S. court for violations of the U.S. securities laws. Further, it may be difficult to compel a non-U.S. company and its affiliates to subject themselves to a U.S. court’s judgement.</w:t>
      </w:r>
    </w:p>
    <w:p w14:paraId="26C8A49E" w14:textId="77777777" w:rsidR="004C4499" w:rsidRPr="00A73A38" w:rsidRDefault="00C13717" w:rsidP="004C4499">
      <w:pPr>
        <w:pStyle w:val="MarginText"/>
        <w:rPr>
          <w:rFonts w:ascii="Arial" w:hAnsi="Arial" w:cs="Arial"/>
          <w:sz w:val="20"/>
        </w:rPr>
      </w:pPr>
      <w:r w:rsidRPr="00A73A38">
        <w:rPr>
          <w:rFonts w:ascii="Arial" w:hAnsi="Arial" w:cs="Arial"/>
          <w:sz w:val="20"/>
        </w:rPr>
        <w:t xml:space="preserve">In accordance with normal UK practice and pursuant to Rule 14e-5(b) of the U.S. Exchange Act, </w:t>
      </w:r>
      <w:r>
        <w:rPr>
          <w:rFonts w:ascii="Arial" w:hAnsi="Arial" w:cs="Arial"/>
          <w:sz w:val="20"/>
        </w:rPr>
        <w:t>EQT, Luxinva S.A., Bidco</w:t>
      </w:r>
      <w:r w:rsidRPr="00A73A38">
        <w:rPr>
          <w:rFonts w:ascii="Arial" w:hAnsi="Arial" w:cs="Arial"/>
          <w:sz w:val="20"/>
        </w:rPr>
        <w:t xml:space="preserve"> or their nominees, or their brokers (acting as agents), may from time to time make certain purchases of, or arrangements to purchase </w:t>
      </w:r>
      <w:r>
        <w:rPr>
          <w:rFonts w:ascii="Arial" w:hAnsi="Arial" w:cs="Arial"/>
          <w:sz w:val="20"/>
        </w:rPr>
        <w:t>Dechra</w:t>
      </w:r>
      <w:r w:rsidRPr="00A73A38">
        <w:rPr>
          <w:rFonts w:ascii="Arial" w:hAnsi="Arial" w:cs="Arial"/>
          <w:sz w:val="20"/>
        </w:rPr>
        <w:t xml:space="preserve"> Shares outside of the U.S., other than pursuant to the Acquisition, until the date on which the Acquisition becomes </w:t>
      </w:r>
      <w:r>
        <w:rPr>
          <w:rFonts w:ascii="Arial" w:hAnsi="Arial" w:cs="Arial"/>
          <w:sz w:val="20"/>
        </w:rPr>
        <w:t>E</w:t>
      </w:r>
      <w:r w:rsidRPr="00A73A38">
        <w:rPr>
          <w:rFonts w:ascii="Arial" w:hAnsi="Arial" w:cs="Arial"/>
          <w:sz w:val="20"/>
        </w:rPr>
        <w:t xml:space="preserve">ffective, lapses or is otherwise withdrawn.  Also, in accordance with Rule 14e-5(b) of the U.S. Exchange Act, BofA Securities and Morgan Stanley will continue to act as exempt principal traders in </w:t>
      </w:r>
      <w:r>
        <w:rPr>
          <w:rFonts w:ascii="Arial" w:hAnsi="Arial" w:cs="Arial"/>
          <w:sz w:val="20"/>
        </w:rPr>
        <w:t>Dechra</w:t>
      </w:r>
      <w:r w:rsidRPr="00A73A38">
        <w:rPr>
          <w:rFonts w:ascii="Arial" w:hAnsi="Arial" w:cs="Arial"/>
          <w:sz w:val="20"/>
        </w:rPr>
        <w:t xml:space="preserve"> shares on the London Stock Exchange. These purchases may occur either in the open market at prevailing prices or in private transactions at negotiated prices.  Any information about such purchases or arrangements </w:t>
      </w:r>
      <w:r>
        <w:rPr>
          <w:rFonts w:ascii="Arial" w:hAnsi="Arial" w:cs="Arial"/>
          <w:sz w:val="20"/>
        </w:rPr>
        <w:t>will</w:t>
      </w:r>
      <w:r w:rsidRPr="00A73A38">
        <w:rPr>
          <w:rFonts w:ascii="Arial" w:hAnsi="Arial" w:cs="Arial"/>
          <w:sz w:val="20"/>
        </w:rPr>
        <w:t xml:space="preserve"> be disclosed as required in the United Kingdom, will be reported to a Regulatory Information Service and will be available on the London Stock Exchange website at </w:t>
      </w:r>
      <w:hyperlink r:id="rId7" w:history="1">
        <w:r w:rsidRPr="00A73A38">
          <w:rPr>
            <w:rFonts w:ascii="Arial" w:hAnsi="Arial" w:cs="Arial"/>
            <w:sz w:val="20"/>
          </w:rPr>
          <w:t>www.londonstockexchange.com</w:t>
        </w:r>
      </w:hyperlink>
      <w:r w:rsidRPr="00A73A38">
        <w:rPr>
          <w:rFonts w:ascii="Arial" w:hAnsi="Arial" w:cs="Arial"/>
          <w:sz w:val="20"/>
        </w:rPr>
        <w:t>.</w:t>
      </w:r>
    </w:p>
    <w:p w14:paraId="7A5FF698" w14:textId="77777777" w:rsidR="004C4499" w:rsidRPr="00A73A38" w:rsidRDefault="00C13717" w:rsidP="004C4499">
      <w:pPr>
        <w:pStyle w:val="MarginText"/>
        <w:rPr>
          <w:rFonts w:ascii="Arial" w:hAnsi="Arial" w:cs="Arial"/>
          <w:sz w:val="20"/>
        </w:rPr>
      </w:pPr>
      <w:r w:rsidRPr="00A73A38">
        <w:rPr>
          <w:rFonts w:ascii="Arial" w:hAnsi="Arial" w:cs="Arial"/>
          <w:sz w:val="20"/>
        </w:rPr>
        <w:t xml:space="preserve">U.S. </w:t>
      </w:r>
      <w:r>
        <w:rPr>
          <w:rFonts w:ascii="Arial" w:hAnsi="Arial" w:cs="Arial"/>
          <w:sz w:val="20"/>
        </w:rPr>
        <w:t>Dechra</w:t>
      </w:r>
      <w:r w:rsidRPr="00A73A38">
        <w:rPr>
          <w:rFonts w:ascii="Arial" w:hAnsi="Arial" w:cs="Arial"/>
          <w:sz w:val="20"/>
        </w:rPr>
        <w:t xml:space="preserve"> Shareholders also should be aware that the transaction contemplated herein may have tax consequences in the U.S. and, that such consequences, if any, are not described herein. U.S. </w:t>
      </w:r>
      <w:r>
        <w:rPr>
          <w:rFonts w:ascii="Arial" w:hAnsi="Arial" w:cs="Arial"/>
          <w:sz w:val="20"/>
        </w:rPr>
        <w:t>Dechra</w:t>
      </w:r>
      <w:r w:rsidRPr="00A73A38">
        <w:rPr>
          <w:rFonts w:ascii="Arial" w:hAnsi="Arial" w:cs="Arial"/>
          <w:sz w:val="20"/>
        </w:rPr>
        <w:t xml:space="preserve"> Shareholders are urged to consult with legal, tax and financial advisers in connection with making a decision regarding this transaction.</w:t>
      </w:r>
    </w:p>
    <w:bookmarkEnd w:id="10"/>
    <w:p w14:paraId="4E842412" w14:textId="77777777" w:rsidR="004C4499" w:rsidRPr="00A73A38" w:rsidRDefault="00C13717" w:rsidP="004C4499">
      <w:pPr>
        <w:pStyle w:val="MarginText"/>
        <w:keepNext/>
        <w:jc w:val="left"/>
        <w:rPr>
          <w:rFonts w:ascii="Arial" w:hAnsi="Arial" w:cs="Arial"/>
          <w:b/>
          <w:sz w:val="20"/>
        </w:rPr>
      </w:pPr>
      <w:r w:rsidRPr="00A73A38">
        <w:rPr>
          <w:rFonts w:ascii="Arial" w:hAnsi="Arial" w:cs="Arial"/>
          <w:b/>
          <w:sz w:val="20"/>
        </w:rPr>
        <w:t>Forward-looking statements</w:t>
      </w:r>
    </w:p>
    <w:p w14:paraId="3E68B44F" w14:textId="77777777" w:rsidR="004C4499" w:rsidRPr="00A73A38" w:rsidRDefault="00C13717" w:rsidP="004C4499">
      <w:pPr>
        <w:pStyle w:val="MarginText"/>
        <w:rPr>
          <w:rFonts w:ascii="Arial" w:hAnsi="Arial" w:cs="Arial"/>
          <w:sz w:val="20"/>
        </w:rPr>
      </w:pPr>
      <w:r w:rsidRPr="00A73A38">
        <w:rPr>
          <w:rFonts w:ascii="Arial" w:hAnsi="Arial" w:cs="Arial"/>
          <w:sz w:val="20"/>
        </w:rPr>
        <w:t xml:space="preserve">This </w:t>
      </w:r>
      <w:r>
        <w:rPr>
          <w:rFonts w:ascii="Arial" w:hAnsi="Arial" w:cs="Arial"/>
          <w:sz w:val="20"/>
        </w:rPr>
        <w:t xml:space="preserve">Announcement </w:t>
      </w:r>
      <w:r w:rsidRPr="00A73A38">
        <w:rPr>
          <w:rFonts w:ascii="Arial" w:hAnsi="Arial" w:cs="Arial"/>
          <w:sz w:val="20"/>
        </w:rPr>
        <w:t xml:space="preserve">(including information incorporated by reference in this </w:t>
      </w:r>
      <w:r>
        <w:rPr>
          <w:rFonts w:ascii="Arial" w:hAnsi="Arial" w:cs="Arial"/>
          <w:sz w:val="20"/>
        </w:rPr>
        <w:t>Announcement</w:t>
      </w:r>
      <w:r w:rsidRPr="00A73A38">
        <w:rPr>
          <w:rFonts w:ascii="Arial" w:hAnsi="Arial" w:cs="Arial"/>
          <w:sz w:val="20"/>
        </w:rPr>
        <w:t xml:space="preserve">), oral statements made regarding the Acquisition, and other information published by Bidco and </w:t>
      </w:r>
      <w:r>
        <w:rPr>
          <w:rFonts w:ascii="Arial" w:hAnsi="Arial" w:cs="Arial"/>
          <w:sz w:val="20"/>
        </w:rPr>
        <w:t>Dechra</w:t>
      </w:r>
      <w:r w:rsidRPr="00A73A38">
        <w:rPr>
          <w:rFonts w:ascii="Arial" w:hAnsi="Arial" w:cs="Arial"/>
          <w:sz w:val="20"/>
        </w:rPr>
        <w:t xml:space="preserve"> contain statements which are, or may be deemed to be, “forward-looking statements”. Forward-looking statements are prospective in nature and are not based on historical facts, but rather on current expectations and projections of the management of Bidco and </w:t>
      </w:r>
      <w:r>
        <w:rPr>
          <w:rFonts w:ascii="Arial" w:hAnsi="Arial" w:cs="Arial"/>
          <w:sz w:val="20"/>
        </w:rPr>
        <w:t>Dechra</w:t>
      </w:r>
      <w:r w:rsidRPr="00A73A38">
        <w:rPr>
          <w:rFonts w:ascii="Arial" w:hAnsi="Arial" w:cs="Arial"/>
          <w:sz w:val="20"/>
        </w:rPr>
        <w:t xml:space="preserve"> about future events, and are </w:t>
      </w:r>
      <w:r w:rsidRPr="00A73A38">
        <w:rPr>
          <w:rFonts w:ascii="Arial" w:hAnsi="Arial" w:cs="Arial"/>
          <w:sz w:val="20"/>
        </w:rPr>
        <w:lastRenderedPageBreak/>
        <w:t>therefore subject to risks and uncertainties which could cause actual results to differ materially from the future results expressed or implied by the forward-looking statements.</w:t>
      </w:r>
    </w:p>
    <w:p w14:paraId="51DA1882" w14:textId="77777777" w:rsidR="004C4499" w:rsidRPr="00A73A38" w:rsidRDefault="00C13717" w:rsidP="004C4499">
      <w:pPr>
        <w:pStyle w:val="MarginText"/>
        <w:rPr>
          <w:rFonts w:ascii="Arial" w:hAnsi="Arial" w:cs="Arial"/>
          <w:sz w:val="20"/>
        </w:rPr>
      </w:pPr>
      <w:r w:rsidRPr="00A73A38">
        <w:rPr>
          <w:rFonts w:ascii="Arial" w:hAnsi="Arial" w:cs="Arial"/>
          <w:sz w:val="20"/>
        </w:rPr>
        <w:t xml:space="preserve">The forward-looking statements contained in this </w:t>
      </w:r>
      <w:r>
        <w:rPr>
          <w:rFonts w:ascii="Arial" w:hAnsi="Arial" w:cs="Arial"/>
          <w:sz w:val="20"/>
        </w:rPr>
        <w:t xml:space="preserve">Announcement </w:t>
      </w:r>
      <w:r w:rsidRPr="00A73A38">
        <w:rPr>
          <w:rFonts w:ascii="Arial" w:hAnsi="Arial" w:cs="Arial"/>
          <w:sz w:val="20"/>
        </w:rPr>
        <w:t xml:space="preserve">include statements relating to the expected effects of the Acquisition on Bidco and </w:t>
      </w:r>
      <w:r>
        <w:rPr>
          <w:rFonts w:ascii="Arial" w:hAnsi="Arial" w:cs="Arial"/>
          <w:sz w:val="20"/>
        </w:rPr>
        <w:t>Dechra</w:t>
      </w:r>
      <w:r w:rsidRPr="00A73A38">
        <w:rPr>
          <w:rFonts w:ascii="Arial" w:hAnsi="Arial" w:cs="Arial"/>
          <w:sz w:val="20"/>
        </w:rPr>
        <w:t xml:space="preserve"> (including their future prospects, developments and strategies), the expected timing and scope of the Acquisition and other statements other than historical facts. Often, but not always, forward-looking statements can be identified by the use of forward-looking words such as “prepares”, “plans”, “expects” or “does not expect”, “is expected”, “is subject to”, “budget”, “projects”, “synergy”, “strategy”, “scheduled”, “goal”, “estimates”, “forecasts”, “cost-saving”, “intends”, “anticipates” or “does not anticipate”, or “believes”, or variations of such words and phrases or statements that certain actions, events or results “may”, “could”, “should”, “would”, “might” or “will” be taken, occur or be achieved. Forward looking statements may include statements relating to the following: (i) future capital expenditures, expenses, revenues, earnings, synergies, economic performance, indebtedness, financial condition, dividend policy, losses and future prospects; (ii) business and management strategies and the expansion and growth of Bidco’s, </w:t>
      </w:r>
      <w:r>
        <w:rPr>
          <w:rFonts w:ascii="Arial" w:hAnsi="Arial" w:cs="Arial"/>
          <w:sz w:val="20"/>
        </w:rPr>
        <w:t>Dechra</w:t>
      </w:r>
      <w:r w:rsidRPr="00A73A38">
        <w:rPr>
          <w:rFonts w:ascii="Arial" w:hAnsi="Arial" w:cs="Arial"/>
          <w:sz w:val="20"/>
        </w:rPr>
        <w:t xml:space="preserve">’s, any member of the Bidco Group’s or any member of the </w:t>
      </w:r>
      <w:r>
        <w:rPr>
          <w:rFonts w:ascii="Arial" w:hAnsi="Arial" w:cs="Arial"/>
          <w:sz w:val="20"/>
        </w:rPr>
        <w:t>Dechra</w:t>
      </w:r>
      <w:r w:rsidRPr="00A73A38">
        <w:rPr>
          <w:rFonts w:ascii="Arial" w:hAnsi="Arial" w:cs="Arial"/>
          <w:sz w:val="20"/>
        </w:rPr>
        <w:t xml:space="preserve"> Group’s operations and potential synergies resulting from the Acquisition; and (iii) the effects of global economic conditions and governmental regulation on Bidco’s, </w:t>
      </w:r>
      <w:r>
        <w:rPr>
          <w:rFonts w:ascii="Arial" w:hAnsi="Arial" w:cs="Arial"/>
          <w:sz w:val="20"/>
        </w:rPr>
        <w:t>Dechra</w:t>
      </w:r>
      <w:r w:rsidRPr="00A73A38">
        <w:rPr>
          <w:rFonts w:ascii="Arial" w:hAnsi="Arial" w:cs="Arial"/>
          <w:sz w:val="20"/>
        </w:rPr>
        <w:t xml:space="preserve">’s, any member of the Bidco Group’s or any member of the </w:t>
      </w:r>
      <w:r>
        <w:rPr>
          <w:rFonts w:ascii="Arial" w:hAnsi="Arial" w:cs="Arial"/>
          <w:sz w:val="20"/>
        </w:rPr>
        <w:t>Dechra</w:t>
      </w:r>
      <w:r w:rsidRPr="00A73A38">
        <w:rPr>
          <w:rFonts w:ascii="Arial" w:hAnsi="Arial" w:cs="Arial"/>
          <w:sz w:val="20"/>
        </w:rPr>
        <w:t xml:space="preserve"> Group’s business.</w:t>
      </w:r>
    </w:p>
    <w:p w14:paraId="36EB1CF4" w14:textId="77777777" w:rsidR="004C4499" w:rsidRPr="00A73A38" w:rsidRDefault="00C13717" w:rsidP="004C4499">
      <w:pPr>
        <w:pStyle w:val="MarginText"/>
        <w:rPr>
          <w:rFonts w:ascii="Arial" w:hAnsi="Arial" w:cs="Arial"/>
          <w:sz w:val="20"/>
        </w:rPr>
      </w:pPr>
      <w:r w:rsidRPr="00A73A38">
        <w:rPr>
          <w:rFonts w:ascii="Arial" w:hAnsi="Arial" w:cs="Arial"/>
          <w:sz w:val="20"/>
        </w:rPr>
        <w:t xml:space="preserve">Although Bidco and </w:t>
      </w:r>
      <w:r>
        <w:rPr>
          <w:rFonts w:ascii="Arial" w:hAnsi="Arial" w:cs="Arial"/>
          <w:sz w:val="20"/>
        </w:rPr>
        <w:t>Dechra</w:t>
      </w:r>
      <w:r w:rsidRPr="00A73A38">
        <w:rPr>
          <w:rFonts w:ascii="Arial" w:hAnsi="Arial" w:cs="Arial"/>
          <w:sz w:val="20"/>
        </w:rPr>
        <w:t xml:space="preserve"> believe that the expectations reflected in such forward-looking statements are reasonable, Bidco and </w:t>
      </w:r>
      <w:r>
        <w:rPr>
          <w:rFonts w:ascii="Arial" w:hAnsi="Arial" w:cs="Arial"/>
          <w:sz w:val="20"/>
        </w:rPr>
        <w:t>Dechra</w:t>
      </w:r>
      <w:r w:rsidRPr="00A73A38">
        <w:rPr>
          <w:rFonts w:ascii="Arial" w:hAnsi="Arial" w:cs="Arial"/>
          <w:sz w:val="20"/>
        </w:rPr>
        <w:t xml:space="preserve"> can give no assurance that such expectations will prove to be correct. By their nature, forward-looking statements involve risk and uncertainty because they relate to events and depend on circumstances that will occur in the future. There are a number of factors that could cause actual results and developments to differ materially from those expressed or implied by such forward-looking statements.</w:t>
      </w:r>
    </w:p>
    <w:p w14:paraId="74C27B6D" w14:textId="77777777" w:rsidR="004C4499" w:rsidRPr="00A73A38" w:rsidRDefault="00C13717" w:rsidP="004C4499">
      <w:pPr>
        <w:pStyle w:val="MarginText"/>
        <w:rPr>
          <w:rFonts w:ascii="Arial" w:hAnsi="Arial" w:cs="Arial"/>
          <w:sz w:val="20"/>
        </w:rPr>
      </w:pPr>
      <w:r w:rsidRPr="00A73A38">
        <w:rPr>
          <w:rFonts w:ascii="Arial" w:hAnsi="Arial" w:cs="Arial"/>
          <w:sz w:val="20"/>
        </w:rPr>
        <w:t xml:space="preserve">These factors include, but are not limited to: the ability to complete the Acquisition; the ability to obtain requisite regulatory and shareholder approvals and the satisfaction of other Conditions on the proposed terms and schedule; changes in the global political, economic, business and competitive environments and in market and regulatory forces; changes in future exchange and interest rates; changes in tax rates; future business combinations or disposals; changes in general economic and business conditions; changes in the behaviour of other market participants; changes in the anticipated benefits from the proposed transaction not being realised as a result of changes in general economic and market conditions in the countries in which Bidco and </w:t>
      </w:r>
      <w:r>
        <w:rPr>
          <w:rFonts w:ascii="Arial" w:hAnsi="Arial" w:cs="Arial"/>
          <w:sz w:val="20"/>
        </w:rPr>
        <w:t>Dechra</w:t>
      </w:r>
      <w:r w:rsidRPr="00A73A38">
        <w:rPr>
          <w:rFonts w:ascii="Arial" w:hAnsi="Arial" w:cs="Arial"/>
          <w:sz w:val="20"/>
        </w:rPr>
        <w:t xml:space="preserve"> operate, weak, volatile or illiquid capital and/or credit markets, changes in tax rates, interest rate and currency value fluctuations, the degree of competition in the geographic and business areas in which Bidco and </w:t>
      </w:r>
      <w:r>
        <w:rPr>
          <w:rFonts w:ascii="Arial" w:hAnsi="Arial" w:cs="Arial"/>
          <w:sz w:val="20"/>
        </w:rPr>
        <w:t>Dechra</w:t>
      </w:r>
      <w:r w:rsidRPr="00A73A38">
        <w:rPr>
          <w:rFonts w:ascii="Arial" w:hAnsi="Arial" w:cs="Arial"/>
          <w:sz w:val="20"/>
        </w:rPr>
        <w:t xml:space="preserve"> operate and changes in laws or in supervisory expectations or requirements. Other unknown or unpredictable factors could cause actual results to differ materially from those expected, estimated or projected in the forward-looking statements. If any one or more of these risks or uncertainties materialises or if any one or more of the assumptions proves incorrect, actual results may differ materially from those expected, estimated or projected. Such forward-looking statements should therefore be construed in the light of such factors. Neither Bidco nor </w:t>
      </w:r>
      <w:r>
        <w:rPr>
          <w:rFonts w:ascii="Arial" w:hAnsi="Arial" w:cs="Arial"/>
          <w:sz w:val="20"/>
        </w:rPr>
        <w:t>Dechra</w:t>
      </w:r>
      <w:r w:rsidRPr="00A73A38">
        <w:rPr>
          <w:rFonts w:ascii="Arial" w:hAnsi="Arial" w:cs="Arial"/>
          <w:sz w:val="20"/>
        </w:rPr>
        <w:t xml:space="preserve">, nor any of their respective associates or directors, officers or advisers, provides any representation, assurance or guarantee that the occurrence of the events expressed or implied in any forward-looking statements in this </w:t>
      </w:r>
      <w:r>
        <w:rPr>
          <w:rFonts w:ascii="Arial" w:hAnsi="Arial" w:cs="Arial"/>
          <w:sz w:val="20"/>
        </w:rPr>
        <w:t>Announcement</w:t>
      </w:r>
      <w:r w:rsidRPr="00A73A38">
        <w:rPr>
          <w:rFonts w:ascii="Arial" w:hAnsi="Arial" w:cs="Arial"/>
          <w:sz w:val="20"/>
        </w:rPr>
        <w:t xml:space="preserve"> will actually occur. You are cautioned not to place any reliance on these forward-looking statements. </w:t>
      </w:r>
    </w:p>
    <w:p w14:paraId="64060D0A" w14:textId="77777777" w:rsidR="004C4499" w:rsidRPr="00A73A38" w:rsidRDefault="00C13717" w:rsidP="004C4499">
      <w:pPr>
        <w:pStyle w:val="MarginText"/>
        <w:rPr>
          <w:rFonts w:ascii="Arial" w:hAnsi="Arial" w:cs="Arial"/>
          <w:sz w:val="20"/>
        </w:rPr>
      </w:pPr>
      <w:r w:rsidRPr="00A73A38">
        <w:rPr>
          <w:rFonts w:ascii="Arial" w:hAnsi="Arial" w:cs="Arial"/>
          <w:sz w:val="20"/>
        </w:rPr>
        <w:t xml:space="preserve">Specifically, statements of estimated cost savings and synergies related to future actions and circumstances which, by their nature, involve risks, uncertainties and contingencies. As a result, the cost savings and synergies referred to may not be achieved, may be achieved later or sooner than estimated, or those achieved could be materially different from those estimated. Due to the scale of the </w:t>
      </w:r>
      <w:r>
        <w:rPr>
          <w:rFonts w:ascii="Arial" w:hAnsi="Arial" w:cs="Arial"/>
          <w:sz w:val="20"/>
        </w:rPr>
        <w:t>Dechra</w:t>
      </w:r>
      <w:r w:rsidRPr="00A73A38">
        <w:rPr>
          <w:rFonts w:ascii="Arial" w:hAnsi="Arial" w:cs="Arial"/>
          <w:sz w:val="20"/>
        </w:rPr>
        <w:t xml:space="preserve"> Group, there may be additional changes to the </w:t>
      </w:r>
      <w:r>
        <w:rPr>
          <w:rFonts w:ascii="Arial" w:hAnsi="Arial" w:cs="Arial"/>
          <w:sz w:val="20"/>
        </w:rPr>
        <w:t>Dechra</w:t>
      </w:r>
      <w:r w:rsidRPr="00A73A38">
        <w:rPr>
          <w:rFonts w:ascii="Arial" w:hAnsi="Arial" w:cs="Arial"/>
          <w:sz w:val="20"/>
        </w:rPr>
        <w:t xml:space="preserve"> Group’s operations. As a result, and given the fact that the changes relate to the future, the resulting cost synergies may be materially greater or less than those estimated.</w:t>
      </w:r>
    </w:p>
    <w:p w14:paraId="572F2FFE" w14:textId="77777777" w:rsidR="004C4499" w:rsidRPr="00A73A38" w:rsidRDefault="00C13717" w:rsidP="004C4499">
      <w:pPr>
        <w:pStyle w:val="MarginText"/>
        <w:rPr>
          <w:rFonts w:ascii="Arial" w:hAnsi="Arial" w:cs="Arial"/>
          <w:sz w:val="20"/>
        </w:rPr>
      </w:pPr>
      <w:r w:rsidRPr="00A73A38">
        <w:rPr>
          <w:rFonts w:ascii="Arial" w:hAnsi="Arial" w:cs="Arial"/>
          <w:sz w:val="20"/>
        </w:rPr>
        <w:t xml:space="preserve">Other than in accordance with their legal or regulatory obligations, neither Bidco nor </w:t>
      </w:r>
      <w:r>
        <w:rPr>
          <w:rFonts w:ascii="Arial" w:hAnsi="Arial" w:cs="Arial"/>
          <w:sz w:val="20"/>
        </w:rPr>
        <w:t>Dechra</w:t>
      </w:r>
      <w:r w:rsidRPr="00A73A38">
        <w:rPr>
          <w:rFonts w:ascii="Arial" w:hAnsi="Arial" w:cs="Arial"/>
          <w:sz w:val="20"/>
        </w:rPr>
        <w:t xml:space="preserve"> is under any obligation, and Bidco and </w:t>
      </w:r>
      <w:r>
        <w:rPr>
          <w:rFonts w:ascii="Arial" w:hAnsi="Arial" w:cs="Arial"/>
          <w:sz w:val="20"/>
        </w:rPr>
        <w:t>Dechra</w:t>
      </w:r>
      <w:r w:rsidRPr="00A73A38">
        <w:rPr>
          <w:rFonts w:ascii="Arial" w:hAnsi="Arial" w:cs="Arial"/>
          <w:sz w:val="20"/>
        </w:rPr>
        <w:t xml:space="preserve"> expressly disclaim any intention or obligation, to update or revise any forward-looking statements, whether as a result of new information, future events or otherwise.</w:t>
      </w:r>
    </w:p>
    <w:p w14:paraId="48510AAD" w14:textId="77777777" w:rsidR="004C4499" w:rsidRPr="00A73A38" w:rsidRDefault="00C13717" w:rsidP="004C4499">
      <w:pPr>
        <w:pStyle w:val="MarginText"/>
        <w:keepNext/>
        <w:jc w:val="left"/>
        <w:rPr>
          <w:rFonts w:ascii="Arial" w:hAnsi="Arial" w:cs="Arial"/>
          <w:b/>
          <w:sz w:val="20"/>
        </w:rPr>
      </w:pPr>
      <w:r>
        <w:rPr>
          <w:rFonts w:ascii="Arial" w:hAnsi="Arial" w:cs="Arial"/>
          <w:b/>
          <w:sz w:val="20"/>
        </w:rPr>
        <w:lastRenderedPageBreak/>
        <w:t>P</w:t>
      </w:r>
      <w:r w:rsidRPr="00A73A38">
        <w:rPr>
          <w:rFonts w:ascii="Arial" w:hAnsi="Arial" w:cs="Arial"/>
          <w:b/>
          <w:sz w:val="20"/>
        </w:rPr>
        <w:t xml:space="preserve">rofit forecasts, estimates or quantified benefits statements </w:t>
      </w:r>
    </w:p>
    <w:p w14:paraId="68135BCC" w14:textId="77777777" w:rsidR="004C4499" w:rsidRPr="00A73A38" w:rsidRDefault="00C13717" w:rsidP="004C4499">
      <w:pPr>
        <w:pStyle w:val="MarginText"/>
        <w:rPr>
          <w:rFonts w:ascii="Arial" w:hAnsi="Arial" w:cs="Arial"/>
          <w:sz w:val="20"/>
        </w:rPr>
      </w:pPr>
      <w:r w:rsidRPr="00A73A38">
        <w:rPr>
          <w:rFonts w:ascii="Arial" w:hAnsi="Arial" w:cs="Arial"/>
          <w:sz w:val="20"/>
        </w:rPr>
        <w:t xml:space="preserve">The </w:t>
      </w:r>
      <w:r>
        <w:rPr>
          <w:rFonts w:ascii="Arial" w:hAnsi="Arial" w:cs="Arial"/>
          <w:sz w:val="20"/>
        </w:rPr>
        <w:t>Dechra</w:t>
      </w:r>
      <w:r w:rsidRPr="00A73A38">
        <w:rPr>
          <w:rFonts w:ascii="Arial" w:hAnsi="Arial" w:cs="Arial"/>
          <w:sz w:val="20"/>
        </w:rPr>
        <w:t xml:space="preserve"> FY23 Profit Forecast is a profit forecast for the purposes of Rule 28 of the Takeover Code. The </w:t>
      </w:r>
      <w:r>
        <w:rPr>
          <w:rFonts w:ascii="Arial" w:hAnsi="Arial" w:cs="Arial"/>
          <w:sz w:val="20"/>
        </w:rPr>
        <w:t>Dechra</w:t>
      </w:r>
      <w:r w:rsidRPr="00A73A38">
        <w:rPr>
          <w:rFonts w:ascii="Arial" w:hAnsi="Arial" w:cs="Arial"/>
          <w:sz w:val="20"/>
        </w:rPr>
        <w:t xml:space="preserve"> FY23 Profit Forecast, the assumptions and basis of preparation on which it is based and the </w:t>
      </w:r>
      <w:r>
        <w:rPr>
          <w:rFonts w:ascii="Arial" w:hAnsi="Arial" w:cs="Arial"/>
          <w:sz w:val="20"/>
        </w:rPr>
        <w:t>Dechra</w:t>
      </w:r>
      <w:r w:rsidRPr="00A73A38">
        <w:rPr>
          <w:rFonts w:ascii="Arial" w:hAnsi="Arial" w:cs="Arial"/>
          <w:sz w:val="20"/>
        </w:rPr>
        <w:t xml:space="preserve"> Directors’ confirmation and reports, as required by Rule 28 of the Takeover Code, are set out in Parts </w:t>
      </w:r>
      <w:r>
        <w:rPr>
          <w:rFonts w:ascii="Arial" w:hAnsi="Arial" w:cs="Arial"/>
          <w:sz w:val="20"/>
        </w:rPr>
        <w:t>A</w:t>
      </w:r>
      <w:r w:rsidRPr="00A73A38">
        <w:rPr>
          <w:rFonts w:ascii="Arial" w:hAnsi="Arial" w:cs="Arial"/>
          <w:sz w:val="20"/>
        </w:rPr>
        <w:t xml:space="preserve">, </w:t>
      </w:r>
      <w:r>
        <w:rPr>
          <w:rFonts w:ascii="Arial" w:hAnsi="Arial" w:cs="Arial"/>
          <w:sz w:val="20"/>
        </w:rPr>
        <w:t>B</w:t>
      </w:r>
      <w:r w:rsidRPr="00A73A38">
        <w:rPr>
          <w:rFonts w:ascii="Arial" w:hAnsi="Arial" w:cs="Arial"/>
          <w:sz w:val="20"/>
        </w:rPr>
        <w:t xml:space="preserve"> and </w:t>
      </w:r>
      <w:r>
        <w:rPr>
          <w:rFonts w:ascii="Arial" w:hAnsi="Arial" w:cs="Arial"/>
          <w:sz w:val="20"/>
        </w:rPr>
        <w:t>C</w:t>
      </w:r>
      <w:r w:rsidRPr="00A73A38">
        <w:rPr>
          <w:rFonts w:ascii="Arial" w:hAnsi="Arial" w:cs="Arial"/>
          <w:sz w:val="20"/>
        </w:rPr>
        <w:t xml:space="preserve"> of Part </w:t>
      </w:r>
      <w:r>
        <w:rPr>
          <w:rFonts w:ascii="Arial" w:hAnsi="Arial" w:cs="Arial"/>
          <w:sz w:val="20"/>
        </w:rPr>
        <w:t>12</w:t>
      </w:r>
      <w:r w:rsidRPr="00A73A38">
        <w:rPr>
          <w:rFonts w:ascii="Arial" w:hAnsi="Arial" w:cs="Arial"/>
          <w:sz w:val="20"/>
        </w:rPr>
        <w:t xml:space="preserve"> (</w:t>
      </w:r>
      <w:r>
        <w:rPr>
          <w:rFonts w:ascii="Arial" w:hAnsi="Arial" w:cs="Arial"/>
          <w:i/>
          <w:iCs/>
          <w:sz w:val="20"/>
        </w:rPr>
        <w:t>Dechra FY23 Profit Forecast</w:t>
      </w:r>
      <w:r w:rsidRPr="00A73A38">
        <w:rPr>
          <w:rFonts w:ascii="Arial" w:hAnsi="Arial" w:cs="Arial"/>
          <w:sz w:val="20"/>
        </w:rPr>
        <w:t>) of th</w:t>
      </w:r>
      <w:r>
        <w:rPr>
          <w:rFonts w:ascii="Arial" w:hAnsi="Arial" w:cs="Arial"/>
          <w:sz w:val="20"/>
        </w:rPr>
        <w:t>e Scheme D</w:t>
      </w:r>
      <w:r w:rsidRPr="00A73A38">
        <w:rPr>
          <w:rFonts w:ascii="Arial" w:hAnsi="Arial" w:cs="Arial"/>
          <w:sz w:val="20"/>
        </w:rPr>
        <w:t>ocument.</w:t>
      </w:r>
    </w:p>
    <w:p w14:paraId="49B58FDA" w14:textId="77777777" w:rsidR="004C4499" w:rsidRPr="00A73A38" w:rsidRDefault="00C13717" w:rsidP="004C4499">
      <w:pPr>
        <w:pStyle w:val="MarginText"/>
        <w:rPr>
          <w:rFonts w:ascii="Arial" w:hAnsi="Arial" w:cs="Arial"/>
          <w:sz w:val="20"/>
        </w:rPr>
      </w:pPr>
      <w:r w:rsidRPr="00A73A38">
        <w:rPr>
          <w:rFonts w:ascii="Arial" w:hAnsi="Arial" w:cs="Arial"/>
          <w:sz w:val="20"/>
        </w:rPr>
        <w:t xml:space="preserve">Save for the </w:t>
      </w:r>
      <w:r>
        <w:rPr>
          <w:rFonts w:ascii="Arial" w:hAnsi="Arial" w:cs="Arial"/>
          <w:sz w:val="20"/>
        </w:rPr>
        <w:t>Dechra</w:t>
      </w:r>
      <w:r w:rsidRPr="00A73A38">
        <w:rPr>
          <w:rFonts w:ascii="Arial" w:hAnsi="Arial" w:cs="Arial"/>
          <w:sz w:val="20"/>
        </w:rPr>
        <w:t xml:space="preserve"> FY23 Profit Forecast, no statement in this </w:t>
      </w:r>
      <w:r>
        <w:rPr>
          <w:rFonts w:ascii="Arial" w:hAnsi="Arial" w:cs="Arial"/>
          <w:sz w:val="20"/>
        </w:rPr>
        <w:t xml:space="preserve">Announcement </w:t>
      </w:r>
      <w:r w:rsidRPr="00A73A38">
        <w:rPr>
          <w:rFonts w:ascii="Arial" w:hAnsi="Arial" w:cs="Arial"/>
          <w:sz w:val="20"/>
        </w:rPr>
        <w:t xml:space="preserve">(or any information incorporated by reference into this </w:t>
      </w:r>
      <w:r>
        <w:rPr>
          <w:rFonts w:ascii="Arial" w:hAnsi="Arial" w:cs="Arial"/>
          <w:sz w:val="20"/>
        </w:rPr>
        <w:t xml:space="preserve">Announcement </w:t>
      </w:r>
      <w:r w:rsidRPr="00A73A38">
        <w:rPr>
          <w:rFonts w:ascii="Arial" w:hAnsi="Arial" w:cs="Arial"/>
          <w:sz w:val="20"/>
        </w:rPr>
        <w:t xml:space="preserve">from another source) is intended </w:t>
      </w:r>
      <w:r>
        <w:rPr>
          <w:rFonts w:ascii="Arial" w:hAnsi="Arial" w:cs="Arial"/>
          <w:sz w:val="20"/>
        </w:rPr>
        <w:t xml:space="preserve">to be or is to be construed </w:t>
      </w:r>
      <w:r w:rsidRPr="00A73A38">
        <w:rPr>
          <w:rFonts w:ascii="Arial" w:hAnsi="Arial" w:cs="Arial"/>
          <w:sz w:val="20"/>
        </w:rPr>
        <w:t xml:space="preserve">as a profit forecast or estimate for any period and no statement in this </w:t>
      </w:r>
      <w:r>
        <w:rPr>
          <w:rFonts w:ascii="Arial" w:hAnsi="Arial" w:cs="Arial"/>
          <w:sz w:val="20"/>
        </w:rPr>
        <w:t xml:space="preserve">Announcement </w:t>
      </w:r>
      <w:r w:rsidRPr="00A73A38">
        <w:rPr>
          <w:rFonts w:ascii="Arial" w:hAnsi="Arial" w:cs="Arial"/>
          <w:sz w:val="20"/>
        </w:rPr>
        <w:t xml:space="preserve">should be interpreted to mean that earnings or earnings per ordinary share </w:t>
      </w:r>
      <w:r>
        <w:rPr>
          <w:rFonts w:ascii="Arial" w:hAnsi="Arial" w:cs="Arial"/>
          <w:sz w:val="20"/>
        </w:rPr>
        <w:t>of</w:t>
      </w:r>
      <w:r w:rsidRPr="00A73A38">
        <w:rPr>
          <w:rFonts w:ascii="Arial" w:hAnsi="Arial" w:cs="Arial"/>
          <w:sz w:val="20"/>
        </w:rPr>
        <w:t xml:space="preserve"> </w:t>
      </w:r>
      <w:r>
        <w:rPr>
          <w:rFonts w:ascii="Arial" w:hAnsi="Arial" w:cs="Arial"/>
          <w:sz w:val="20"/>
        </w:rPr>
        <w:t>Dechra</w:t>
      </w:r>
      <w:r w:rsidRPr="00A73A38">
        <w:rPr>
          <w:rFonts w:ascii="Arial" w:hAnsi="Arial" w:cs="Arial"/>
          <w:sz w:val="20"/>
        </w:rPr>
        <w:t xml:space="preserve"> for the current or future financial years would necessarily match or exceed the historical published earnings or earnings per ordinary share </w:t>
      </w:r>
      <w:r>
        <w:rPr>
          <w:rFonts w:ascii="Arial" w:hAnsi="Arial" w:cs="Arial"/>
          <w:sz w:val="20"/>
        </w:rPr>
        <w:t>of</w:t>
      </w:r>
      <w:r w:rsidRPr="00A73A38">
        <w:rPr>
          <w:rFonts w:ascii="Arial" w:hAnsi="Arial" w:cs="Arial"/>
          <w:sz w:val="20"/>
        </w:rPr>
        <w:t xml:space="preserve"> </w:t>
      </w:r>
      <w:r>
        <w:rPr>
          <w:rFonts w:ascii="Arial" w:hAnsi="Arial" w:cs="Arial"/>
          <w:sz w:val="20"/>
        </w:rPr>
        <w:t>Dechra</w:t>
      </w:r>
      <w:r w:rsidRPr="00A73A38">
        <w:rPr>
          <w:rFonts w:ascii="Arial" w:hAnsi="Arial" w:cs="Arial"/>
          <w:sz w:val="20"/>
        </w:rPr>
        <w:t>.</w:t>
      </w:r>
    </w:p>
    <w:p w14:paraId="1959B5E3" w14:textId="569DF72D" w:rsidR="004C4499" w:rsidRPr="00A73A38" w:rsidRDefault="00C13717" w:rsidP="004C4499">
      <w:pPr>
        <w:pStyle w:val="MarginText"/>
        <w:keepNext/>
        <w:jc w:val="left"/>
        <w:rPr>
          <w:rFonts w:ascii="Arial" w:hAnsi="Arial" w:cs="Arial"/>
          <w:b/>
          <w:sz w:val="20"/>
        </w:rPr>
      </w:pPr>
      <w:r w:rsidRPr="00A73A38">
        <w:rPr>
          <w:rFonts w:ascii="Arial" w:hAnsi="Arial" w:cs="Arial"/>
          <w:b/>
          <w:sz w:val="20"/>
        </w:rPr>
        <w:t xml:space="preserve">Information relating to </w:t>
      </w:r>
      <w:r>
        <w:rPr>
          <w:rFonts w:ascii="Arial" w:hAnsi="Arial" w:cs="Arial"/>
          <w:b/>
          <w:sz w:val="20"/>
        </w:rPr>
        <w:t>Dechra</w:t>
      </w:r>
      <w:r w:rsidRPr="00A73A38">
        <w:rPr>
          <w:rFonts w:ascii="Arial" w:hAnsi="Arial" w:cs="Arial"/>
          <w:b/>
          <w:sz w:val="20"/>
        </w:rPr>
        <w:t xml:space="preserve"> Shareholders</w:t>
      </w:r>
    </w:p>
    <w:p w14:paraId="21A390EB" w14:textId="77777777" w:rsidR="004C4499" w:rsidRPr="00A73A38" w:rsidRDefault="00C13717" w:rsidP="004C4499">
      <w:pPr>
        <w:pStyle w:val="MarginText"/>
        <w:rPr>
          <w:rFonts w:ascii="Arial" w:hAnsi="Arial" w:cs="Arial"/>
          <w:sz w:val="20"/>
        </w:rPr>
      </w:pPr>
      <w:r w:rsidRPr="00A73A38">
        <w:rPr>
          <w:rFonts w:ascii="Arial" w:hAnsi="Arial" w:cs="Arial"/>
          <w:sz w:val="20"/>
        </w:rPr>
        <w:t xml:space="preserve">Please be aware that addresses, electronic addresses and certain information provided by </w:t>
      </w:r>
      <w:r>
        <w:rPr>
          <w:rFonts w:ascii="Arial" w:hAnsi="Arial" w:cs="Arial"/>
          <w:sz w:val="20"/>
        </w:rPr>
        <w:t>Dechra</w:t>
      </w:r>
      <w:r w:rsidRPr="00A73A38">
        <w:rPr>
          <w:rFonts w:ascii="Arial" w:hAnsi="Arial" w:cs="Arial"/>
          <w:sz w:val="20"/>
        </w:rPr>
        <w:t xml:space="preserve"> Shareholders, persons with information rights and other relevant persons for the receipt of communications from </w:t>
      </w:r>
      <w:r>
        <w:rPr>
          <w:rFonts w:ascii="Arial" w:hAnsi="Arial" w:cs="Arial"/>
          <w:sz w:val="20"/>
        </w:rPr>
        <w:t>Dechra</w:t>
      </w:r>
      <w:r w:rsidRPr="00A73A38">
        <w:rPr>
          <w:rFonts w:ascii="Arial" w:hAnsi="Arial" w:cs="Arial"/>
          <w:sz w:val="20"/>
        </w:rPr>
        <w:t xml:space="preserve"> may be provided to Bidco during the Offer Period as required under Section 4 of Appendix 4 of the Takeover Code</w:t>
      </w:r>
      <w:r>
        <w:rPr>
          <w:rFonts w:ascii="Arial" w:hAnsi="Arial" w:cs="Arial"/>
          <w:sz w:val="20"/>
        </w:rPr>
        <w:t xml:space="preserve"> to comply with Rule 2.11(c) of the Takeover Code</w:t>
      </w:r>
      <w:r w:rsidRPr="00A73A38">
        <w:rPr>
          <w:rFonts w:ascii="Arial" w:hAnsi="Arial" w:cs="Arial"/>
          <w:sz w:val="20"/>
        </w:rPr>
        <w:t xml:space="preserve">. </w:t>
      </w:r>
    </w:p>
    <w:p w14:paraId="1AFB5DD7" w14:textId="77777777" w:rsidR="004C4499" w:rsidRPr="00A73A38" w:rsidRDefault="00C13717" w:rsidP="004C4499">
      <w:pPr>
        <w:pStyle w:val="MarginText"/>
        <w:keepNext/>
        <w:jc w:val="left"/>
        <w:rPr>
          <w:rFonts w:ascii="Arial" w:hAnsi="Arial" w:cs="Arial"/>
          <w:b/>
          <w:sz w:val="20"/>
        </w:rPr>
      </w:pPr>
      <w:r w:rsidRPr="00A73A38">
        <w:rPr>
          <w:rFonts w:ascii="Arial" w:hAnsi="Arial" w:cs="Arial"/>
          <w:b/>
          <w:sz w:val="20"/>
        </w:rPr>
        <w:t>Publication on website and availability of hard copies</w:t>
      </w:r>
    </w:p>
    <w:p w14:paraId="384BCC1C" w14:textId="7D92AD7B" w:rsidR="004C4499" w:rsidRPr="00522CDF" w:rsidRDefault="00C13717" w:rsidP="004C4499">
      <w:pPr>
        <w:pStyle w:val="MarginText"/>
        <w:rPr>
          <w:rFonts w:ascii="Arial" w:hAnsi="Arial" w:cs="Arial"/>
          <w:sz w:val="20"/>
        </w:rPr>
      </w:pPr>
      <w:r w:rsidRPr="00522CDF">
        <w:rPr>
          <w:rFonts w:ascii="Arial" w:hAnsi="Arial" w:cs="Arial"/>
          <w:bCs/>
          <w:color w:val="000000"/>
          <w:sz w:val="20"/>
        </w:rPr>
        <w:t>In accordance with Rule 26.1 of the Takeover Code, a</w:t>
      </w:r>
      <w:r w:rsidRPr="00522CDF">
        <w:rPr>
          <w:rFonts w:ascii="Arial" w:hAnsi="Arial" w:cs="Arial"/>
          <w:sz w:val="20"/>
        </w:rPr>
        <w:t xml:space="preserve"> copy of this Announcement will be made available, subject to any restrictions relating to persons resident in Restricted Jurisdictions, free of charge, on Dechra’s website at </w:t>
      </w:r>
      <w:hyperlink r:id="rId8" w:history="1">
        <w:r w:rsidRPr="00522CDF">
          <w:rPr>
            <w:rStyle w:val="Hyperlink"/>
            <w:rFonts w:ascii="Arial" w:hAnsi="Arial" w:cs="Arial"/>
            <w:sz w:val="20"/>
          </w:rPr>
          <w:t>https://www.Dechra.com/investors/cash-offer</w:t>
        </w:r>
      </w:hyperlink>
      <w:r w:rsidRPr="00522CDF">
        <w:rPr>
          <w:rFonts w:ascii="Arial" w:hAnsi="Arial" w:cs="Arial"/>
          <w:sz w:val="20"/>
        </w:rPr>
        <w:t xml:space="preserve"> </w:t>
      </w:r>
      <w:r w:rsidRPr="00522CDF">
        <w:rPr>
          <w:rFonts w:ascii="Arial" w:hAnsi="Arial" w:cs="Arial"/>
          <w:bCs/>
          <w:color w:val="000000"/>
          <w:sz w:val="20"/>
        </w:rPr>
        <w:t>by no later than 12 noon on the Business Day following the date of this Announcement</w:t>
      </w:r>
      <w:r w:rsidRPr="00522CDF">
        <w:rPr>
          <w:rFonts w:ascii="Arial" w:hAnsi="Arial" w:cs="Arial"/>
          <w:sz w:val="20"/>
        </w:rPr>
        <w:t>.</w:t>
      </w:r>
      <w:r w:rsidR="00FD6159">
        <w:rPr>
          <w:rFonts w:ascii="Arial" w:hAnsi="Arial" w:cs="Arial"/>
          <w:sz w:val="20"/>
        </w:rPr>
        <w:t xml:space="preserve"> For the avoidance of doubt, neither the content of this website nor of any website accessible from hyperlinks is incorporated by reference or forms part of this Announcement.</w:t>
      </w:r>
    </w:p>
    <w:p w14:paraId="4EE22131" w14:textId="77777777" w:rsidR="004C4499" w:rsidRPr="00522CDF" w:rsidRDefault="00C13717" w:rsidP="004C4499">
      <w:pPr>
        <w:pStyle w:val="MarginText"/>
        <w:rPr>
          <w:rFonts w:ascii="Arial" w:hAnsi="Arial" w:cs="Arial"/>
          <w:sz w:val="20"/>
        </w:rPr>
      </w:pPr>
      <w:r w:rsidRPr="00522CDF">
        <w:rPr>
          <w:rFonts w:ascii="Arial" w:hAnsi="Arial" w:cs="Arial"/>
          <w:sz w:val="20"/>
        </w:rPr>
        <w:t>In accordance with Rule 30.3 of the Takeover Code, Dechra Shareholders, persons with information rights in Dechra, participants in Dechra Share Plans and any other person to whom this Announcement has been sent, may request a hard copy of this Announcement (and any information incorporated in this Announcement by reference to another source), free of charge, by: (i) telephoning Equiniti on +44 (0) 333 207 6537. If calling from outside the UK, please ensure the country code is used. Lines will be open from 8.30 a.m. to 5.30 p.m., Monday to Friday (excluding public holidays in England and Wales); or (ii) submitting a request in writing to Equiniti Limited, Aspect House, Spencer Road, Lancing, West Sussex BN99 6DA, United Kingdom.  For persons who receive a copy of this Announcement in electronic form or via a website notification, a hard copy of this Announcement and any such information incorporated in it by reference to another source will not be sent unless so requested.  In accordance with Rule 30.3 of the Takeover Code, a person so entitled may also request that all future documents, announcements and information to be sent to them in relation to the Acquisition should be in hard copy form.</w:t>
      </w:r>
    </w:p>
    <w:bookmarkEnd w:id="4"/>
    <w:p w14:paraId="3A110FC8" w14:textId="77777777" w:rsidR="00266D2B" w:rsidRPr="00F71118" w:rsidRDefault="00266D2B" w:rsidP="004C4499">
      <w:pPr>
        <w:jc w:val="both"/>
        <w:rPr>
          <w:rFonts w:ascii="Arial" w:hAnsi="Arial"/>
          <w:sz w:val="20"/>
          <w:szCs w:val="20"/>
        </w:rPr>
      </w:pPr>
    </w:p>
    <w:sectPr w:rsidR="00266D2B" w:rsidRPr="00F71118" w:rsidSect="00596823">
      <w:headerReference w:type="even" r:id="rId9"/>
      <w:headerReference w:type="default" r:id="rId10"/>
      <w:footerReference w:type="even" r:id="rId11"/>
      <w:footerReference w:type="default" r:id="rId12"/>
      <w:headerReference w:type="first" r:id="rId13"/>
      <w:footerReference w:type="first" r:id="rId14"/>
      <w:pgSz w:w="11907" w:h="16839"/>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AF544" w14:textId="77777777" w:rsidR="00775790" w:rsidRDefault="00C13717">
      <w:r>
        <w:separator/>
      </w:r>
    </w:p>
  </w:endnote>
  <w:endnote w:type="continuationSeparator" w:id="0">
    <w:p w14:paraId="2A27CA04" w14:textId="77777777" w:rsidR="00775790" w:rsidRDefault="00C13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797BB" w14:textId="77777777" w:rsidR="00525DE2" w:rsidRDefault="00525D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006A2" w14:textId="4A1BDA2B" w:rsidR="00F676FB" w:rsidRDefault="00F676FB" w:rsidP="006D4CBC">
    <w:pPr>
      <w:pStyle w:val="Footer"/>
      <w:rPr>
        <w:noProof/>
      </w:rPr>
    </w:pPr>
  </w:p>
  <w:p w14:paraId="156381BC" w14:textId="51D1477A" w:rsidR="009C5EFF" w:rsidRPr="00A30D44" w:rsidRDefault="00F0759F">
    <w:pPr>
      <w:pStyle w:val="Footer"/>
      <w:jc w:val="center"/>
      <w:rPr>
        <w:rFonts w:ascii="Calibri" w:hAnsi="Calibri"/>
        <w:noProof/>
      </w:rPr>
    </w:pPr>
    <w:sdt>
      <w:sdtPr>
        <w:rPr>
          <w:noProof/>
        </w:rPr>
        <w:id w:val="-47381649"/>
        <w:docPartObj>
          <w:docPartGallery w:val="Page Numbers (Bottom of Page)"/>
          <w:docPartUnique/>
        </w:docPartObj>
      </w:sdtPr>
      <w:sdtEndPr>
        <w:rPr>
          <w:rFonts w:ascii="Calibri" w:hAnsi="Calibri"/>
        </w:rPr>
      </w:sdtEndPr>
      <w:sdtContent>
        <w:r w:rsidR="00F17A0B" w:rsidRPr="00A30D44">
          <w:rPr>
            <w:rFonts w:ascii="Calibri" w:hAnsi="Calibri"/>
            <w:noProof/>
          </w:rPr>
          <w:fldChar w:fldCharType="begin"/>
        </w:r>
        <w:r w:rsidR="00F17A0B" w:rsidRPr="00A30D44">
          <w:rPr>
            <w:rFonts w:ascii="Calibri" w:hAnsi="Calibri"/>
            <w:noProof/>
          </w:rPr>
          <w:instrText xml:space="preserve"> PAGE   \* MERGEFORMAT </w:instrText>
        </w:r>
        <w:r w:rsidR="00F17A0B" w:rsidRPr="00A30D44">
          <w:rPr>
            <w:rFonts w:ascii="Calibri" w:hAnsi="Calibri"/>
            <w:noProof/>
          </w:rPr>
          <w:fldChar w:fldCharType="separate"/>
        </w:r>
        <w:r w:rsidR="00F73D3B">
          <w:rPr>
            <w:rFonts w:ascii="Calibri" w:hAnsi="Calibri"/>
            <w:noProof/>
          </w:rPr>
          <w:t>7</w:t>
        </w:r>
        <w:r w:rsidR="00F17A0B" w:rsidRPr="00A30D44">
          <w:rPr>
            <w:rFonts w:ascii="Calibri" w:hAnsi="Calibri"/>
            <w:noProof/>
          </w:rPr>
          <w:fldChar w:fldCharType="end"/>
        </w:r>
      </w:sdtContent>
    </w:sdt>
  </w:p>
  <w:p w14:paraId="2574B61B" w14:textId="77777777" w:rsidR="009C5EFF" w:rsidRDefault="009C5EFF" w:rsidP="001C6384">
    <w:pPr>
      <w:pStyle w:val="Footer"/>
      <w:rPr>
        <w:noProof/>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7DAAB" w14:textId="470BD823" w:rsidR="00F676FB" w:rsidRDefault="00F676FB" w:rsidP="006D4CBC">
    <w:pPr>
      <w:pStyle w:val="Footer"/>
      <w:rPr>
        <w:noProof/>
      </w:rPr>
    </w:pPr>
  </w:p>
  <w:p w14:paraId="6A6B3681" w14:textId="40FF59E1" w:rsidR="009C5EFF" w:rsidRDefault="00F0759F">
    <w:pPr>
      <w:pStyle w:val="Footer"/>
      <w:jc w:val="center"/>
      <w:rPr>
        <w:noProof/>
      </w:rPr>
    </w:pPr>
    <w:sdt>
      <w:sdtPr>
        <w:rPr>
          <w:noProof/>
        </w:rPr>
        <w:id w:val="-1414461344"/>
        <w:docPartObj>
          <w:docPartGallery w:val="Page Numbers (Bottom of Page)"/>
          <w:docPartUnique/>
        </w:docPartObj>
      </w:sdtPr>
      <w:sdtEndPr/>
      <w:sdtContent>
        <w:r w:rsidR="00F17A0B">
          <w:rPr>
            <w:noProof/>
          </w:rPr>
          <w:fldChar w:fldCharType="begin"/>
        </w:r>
        <w:r w:rsidR="00F17A0B">
          <w:rPr>
            <w:noProof/>
          </w:rPr>
          <w:instrText xml:space="preserve"> PAGE   \* MERGEFORMAT </w:instrText>
        </w:r>
        <w:r w:rsidR="00F17A0B">
          <w:rPr>
            <w:noProof/>
          </w:rPr>
          <w:fldChar w:fldCharType="separate"/>
        </w:r>
        <w:r w:rsidR="00F73D3B">
          <w:rPr>
            <w:noProof/>
          </w:rPr>
          <w:t>1</w:t>
        </w:r>
        <w:r w:rsidR="00F17A0B">
          <w:rPr>
            <w:noProof/>
          </w:rPr>
          <w:fldChar w:fldCharType="end"/>
        </w:r>
      </w:sdtContent>
    </w:sdt>
  </w:p>
  <w:p w14:paraId="2E16DDCA" w14:textId="77777777" w:rsidR="009C5EFF" w:rsidRDefault="009C5EFF" w:rsidP="001C6384">
    <w:pPr>
      <w:pStyle w:val="Footer"/>
      <w:rPr>
        <w:noProof/>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FA458" w14:textId="77777777" w:rsidR="00775790" w:rsidRDefault="00C13717">
      <w:r>
        <w:separator/>
      </w:r>
    </w:p>
  </w:footnote>
  <w:footnote w:type="continuationSeparator" w:id="0">
    <w:p w14:paraId="37FE1034" w14:textId="77777777" w:rsidR="00775790" w:rsidRDefault="00C13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E60AA" w14:textId="77777777" w:rsidR="00525DE2" w:rsidRDefault="00525D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11067" w14:textId="77777777" w:rsidR="00525DE2" w:rsidRDefault="00525D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A2211" w14:textId="121F7C7F" w:rsidR="00260BC0" w:rsidRPr="00BE1608" w:rsidRDefault="00260BC0" w:rsidP="00BE1608">
    <w:pPr>
      <w:pStyle w:val="Header"/>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91549"/>
    <w:multiLevelType w:val="multilevel"/>
    <w:tmpl w:val="13F852D8"/>
    <w:lvl w:ilvl="0">
      <w:start w:val="1"/>
      <w:numFmt w:val="decimal"/>
      <w:pStyle w:val="Parties"/>
      <w:lvlText w:val="(%1)"/>
      <w:lvlJc w:val="left"/>
      <w:pPr>
        <w:tabs>
          <w:tab w:val="num" w:pos="709"/>
        </w:tabs>
        <w:ind w:left="709" w:hanging="709"/>
      </w:pPr>
    </w:lvl>
    <w:lvl w:ilvl="1">
      <w:start w:val="1"/>
      <w:numFmt w:val="none"/>
      <w:lvlText w:val=""/>
      <w:lvlJc w:val="left"/>
      <w:pPr>
        <w:ind w:left="1418" w:hanging="709"/>
      </w:pPr>
    </w:lvl>
    <w:lvl w:ilvl="2">
      <w:start w:val="1"/>
      <w:numFmt w:val="none"/>
      <w:lvlText w:val=""/>
      <w:lvlJc w:val="left"/>
      <w:pPr>
        <w:ind w:left="2127" w:hanging="709"/>
      </w:pPr>
    </w:lvl>
    <w:lvl w:ilvl="3">
      <w:start w:val="1"/>
      <w:numFmt w:val="none"/>
      <w:lvlText w:val=""/>
      <w:lvlJc w:val="left"/>
      <w:pPr>
        <w:ind w:left="2836" w:hanging="709"/>
      </w:pPr>
    </w:lvl>
    <w:lvl w:ilvl="4">
      <w:start w:val="1"/>
      <w:numFmt w:val="none"/>
      <w:lvlText w:val=""/>
      <w:lvlJc w:val="left"/>
      <w:pPr>
        <w:ind w:left="3545" w:hanging="709"/>
      </w:pPr>
    </w:lvl>
    <w:lvl w:ilvl="5">
      <w:start w:val="1"/>
      <w:numFmt w:val="none"/>
      <w:lvlText w:val=""/>
      <w:lvlJc w:val="left"/>
      <w:pPr>
        <w:ind w:left="4254" w:hanging="709"/>
      </w:pPr>
    </w:lvl>
    <w:lvl w:ilvl="6">
      <w:start w:val="1"/>
      <w:numFmt w:val="none"/>
      <w:lvlText w:val=""/>
      <w:lvlJc w:val="left"/>
      <w:pPr>
        <w:ind w:left="4963" w:hanging="709"/>
      </w:pPr>
    </w:lvl>
    <w:lvl w:ilvl="7">
      <w:start w:val="1"/>
      <w:numFmt w:val="none"/>
      <w:lvlText w:val=""/>
      <w:lvlJc w:val="left"/>
      <w:pPr>
        <w:ind w:left="5672" w:hanging="709"/>
      </w:pPr>
    </w:lvl>
    <w:lvl w:ilvl="8">
      <w:start w:val="1"/>
      <w:numFmt w:val="none"/>
      <w:lvlText w:val=""/>
      <w:lvlJc w:val="left"/>
      <w:pPr>
        <w:ind w:left="6381" w:hanging="709"/>
      </w:pPr>
    </w:lvl>
  </w:abstractNum>
  <w:abstractNum w:abstractNumId="1" w15:restartNumberingAfterBreak="0">
    <w:nsid w:val="0E9E703F"/>
    <w:multiLevelType w:val="multilevel"/>
    <w:tmpl w:val="89F87E76"/>
    <w:lvl w:ilvl="0">
      <w:start w:val="1"/>
      <w:numFmt w:val="decimal"/>
      <w:pStyle w:val="Heading1"/>
      <w:lvlText w:val="%1."/>
      <w:lvlJc w:val="left"/>
      <w:pPr>
        <w:tabs>
          <w:tab w:val="num" w:pos="709"/>
        </w:tabs>
        <w:ind w:left="709" w:hanging="709"/>
      </w:pPr>
      <w:rPr>
        <w:b/>
        <w:caps/>
        <w:smallCaps w:val="0"/>
      </w:rPr>
    </w:lvl>
    <w:lvl w:ilvl="1">
      <w:start w:val="1"/>
      <w:numFmt w:val="decimal"/>
      <w:pStyle w:val="Heading2"/>
      <w:lvlText w:val="%1.%2"/>
      <w:lvlJc w:val="left"/>
      <w:pPr>
        <w:tabs>
          <w:tab w:val="num" w:pos="709"/>
        </w:tabs>
        <w:ind w:left="709" w:hanging="709"/>
      </w:pPr>
    </w:lvl>
    <w:lvl w:ilvl="2">
      <w:start w:val="1"/>
      <w:numFmt w:val="lowerLetter"/>
      <w:pStyle w:val="Heading3"/>
      <w:lvlText w:val="(%3)"/>
      <w:lvlJc w:val="left"/>
      <w:pPr>
        <w:tabs>
          <w:tab w:val="num" w:pos="1418"/>
        </w:tabs>
        <w:ind w:left="1418" w:hanging="709"/>
      </w:pPr>
    </w:lvl>
    <w:lvl w:ilvl="3">
      <w:start w:val="1"/>
      <w:numFmt w:val="lowerRoman"/>
      <w:pStyle w:val="Heading4"/>
      <w:lvlText w:val="(%4)"/>
      <w:lvlJc w:val="left"/>
      <w:pPr>
        <w:tabs>
          <w:tab w:val="num" w:pos="2126"/>
        </w:tabs>
        <w:ind w:left="2126" w:hanging="708"/>
      </w:pPr>
    </w:lvl>
    <w:lvl w:ilvl="4">
      <w:start w:val="1"/>
      <w:numFmt w:val="upperLetter"/>
      <w:pStyle w:val="Heading5"/>
      <w:lvlText w:val="(%5)"/>
      <w:lvlJc w:val="left"/>
      <w:pPr>
        <w:tabs>
          <w:tab w:val="num" w:pos="2835"/>
        </w:tabs>
        <w:ind w:left="2835" w:hanging="709"/>
      </w:pPr>
    </w:lvl>
    <w:lvl w:ilvl="5">
      <w:start w:val="1"/>
      <w:numFmt w:val="upperRoman"/>
      <w:pStyle w:val="Heading6"/>
      <w:lvlText w:val="(%6)"/>
      <w:lvlJc w:val="left"/>
      <w:pPr>
        <w:tabs>
          <w:tab w:val="num" w:pos="3544"/>
        </w:tabs>
        <w:ind w:left="3544" w:hanging="709"/>
      </w:pPr>
    </w:lvl>
    <w:lvl w:ilvl="6">
      <w:start w:val="1"/>
      <w:numFmt w:val="decimal"/>
      <w:pStyle w:val="Heading7"/>
      <w:lvlText w:val="(%7)"/>
      <w:lvlJc w:val="left"/>
      <w:pPr>
        <w:tabs>
          <w:tab w:val="num" w:pos="4253"/>
        </w:tabs>
        <w:ind w:left="4253" w:hanging="709"/>
      </w:pPr>
    </w:lvl>
    <w:lvl w:ilvl="7">
      <w:start w:val="1"/>
      <w:numFmt w:val="lowerLetter"/>
      <w:pStyle w:val="Heading8"/>
      <w:lvlText w:val="%8)"/>
      <w:lvlJc w:val="left"/>
      <w:pPr>
        <w:tabs>
          <w:tab w:val="num" w:pos="4678"/>
        </w:tabs>
        <w:ind w:left="4678" w:hanging="425"/>
      </w:pPr>
    </w:lvl>
    <w:lvl w:ilvl="8">
      <w:start w:val="1"/>
      <w:numFmt w:val="lowerRoman"/>
      <w:pStyle w:val="Heading9"/>
      <w:lvlText w:val="%9)"/>
      <w:lvlJc w:val="left"/>
      <w:pPr>
        <w:tabs>
          <w:tab w:val="num" w:pos="5387"/>
        </w:tabs>
        <w:ind w:left="5387" w:hanging="709"/>
      </w:pPr>
    </w:lvl>
  </w:abstractNum>
  <w:abstractNum w:abstractNumId="2" w15:restartNumberingAfterBreak="0">
    <w:nsid w:val="15F05088"/>
    <w:multiLevelType w:val="multilevel"/>
    <w:tmpl w:val="40A43000"/>
    <w:lvl w:ilvl="0">
      <w:start w:val="1"/>
      <w:numFmt w:val="decimal"/>
      <w:pStyle w:val="AltH1OCAshurst"/>
      <w:lvlText w:val="%1."/>
      <w:lvlJc w:val="left"/>
      <w:pPr>
        <w:tabs>
          <w:tab w:val="num" w:pos="709"/>
        </w:tabs>
        <w:ind w:left="709" w:hanging="709"/>
      </w:pPr>
      <w:rPr>
        <w:rFonts w:hint="default"/>
        <w:b/>
        <w:i w:val="0"/>
      </w:rPr>
    </w:lvl>
    <w:lvl w:ilvl="1">
      <w:start w:val="1"/>
      <w:numFmt w:val="decimal"/>
      <w:pStyle w:val="AltH2OCAshurst"/>
      <w:lvlText w:val="%1.%2"/>
      <w:lvlJc w:val="left"/>
      <w:pPr>
        <w:tabs>
          <w:tab w:val="num" w:pos="709"/>
        </w:tabs>
        <w:ind w:left="709" w:hanging="709"/>
      </w:pPr>
      <w:rPr>
        <w:rFonts w:hint="default"/>
        <w:b w:val="0"/>
        <w:i w:val="0"/>
      </w:rPr>
    </w:lvl>
    <w:lvl w:ilvl="2">
      <w:start w:val="1"/>
      <w:numFmt w:val="lowerLetter"/>
      <w:pStyle w:val="AltH3OCAshurst"/>
      <w:lvlText w:val="(%3)"/>
      <w:lvlJc w:val="left"/>
      <w:pPr>
        <w:tabs>
          <w:tab w:val="num" w:pos="709"/>
        </w:tabs>
        <w:ind w:left="709" w:hanging="709"/>
      </w:pPr>
      <w:rPr>
        <w:rFonts w:hint="default"/>
        <w:b w:val="0"/>
        <w:i w:val="0"/>
      </w:rPr>
    </w:lvl>
    <w:lvl w:ilvl="3">
      <w:start w:val="1"/>
      <w:numFmt w:val="lowerRoman"/>
      <w:pStyle w:val="AltH4OCAshurst"/>
      <w:lvlText w:val="(%4)"/>
      <w:lvlJc w:val="left"/>
      <w:pPr>
        <w:tabs>
          <w:tab w:val="num" w:pos="1276"/>
        </w:tabs>
        <w:ind w:left="1276" w:hanging="567"/>
      </w:pPr>
      <w:rPr>
        <w:rFonts w:hint="default"/>
        <w:b w:val="0"/>
        <w:i w:val="0"/>
      </w:rPr>
    </w:lvl>
    <w:lvl w:ilvl="4">
      <w:start w:val="1"/>
      <w:numFmt w:val="upperLetter"/>
      <w:pStyle w:val="AltH5OCAshurst"/>
      <w:lvlText w:val="(%5)"/>
      <w:lvlJc w:val="left"/>
      <w:pPr>
        <w:tabs>
          <w:tab w:val="num" w:pos="1843"/>
        </w:tabs>
        <w:ind w:left="1843" w:hanging="567"/>
      </w:pPr>
      <w:rPr>
        <w:rFonts w:hint="default"/>
        <w:b w:val="0"/>
        <w:i w:val="0"/>
      </w:rPr>
    </w:lvl>
    <w:lvl w:ilvl="5">
      <w:start w:val="1"/>
      <w:numFmt w:val="decimal"/>
      <w:pStyle w:val="AltH6OCAshurst"/>
      <w:lvlText w:val="(%6)"/>
      <w:lvlJc w:val="left"/>
      <w:pPr>
        <w:tabs>
          <w:tab w:val="num" w:pos="2410"/>
        </w:tabs>
        <w:ind w:left="2410" w:hanging="567"/>
      </w:pPr>
      <w:rPr>
        <w:rFonts w:hint="default"/>
        <w:b w:val="0"/>
        <w:i w:val="0"/>
      </w:rPr>
    </w:lvl>
    <w:lvl w:ilvl="6">
      <w:start w:val="1"/>
      <w:numFmt w:val="lowerLetter"/>
      <w:pStyle w:val="AltH7OCAshurst"/>
      <w:lvlText w:val="(%7)"/>
      <w:lvlJc w:val="left"/>
      <w:pPr>
        <w:tabs>
          <w:tab w:val="num" w:pos="2977"/>
        </w:tabs>
        <w:ind w:left="2977" w:hanging="567"/>
      </w:pPr>
      <w:rPr>
        <w:rFonts w:hint="default"/>
        <w:b w:val="0"/>
        <w:i w:val="0"/>
      </w:rPr>
    </w:lvl>
    <w:lvl w:ilvl="7">
      <w:start w:val="1"/>
      <w:numFmt w:val="lowerRoman"/>
      <w:pStyle w:val="AltH8OCAshurst"/>
      <w:lvlText w:val="(%8)"/>
      <w:lvlJc w:val="left"/>
      <w:pPr>
        <w:tabs>
          <w:tab w:val="num" w:pos="3544"/>
        </w:tabs>
        <w:ind w:left="3544" w:hanging="567"/>
      </w:pPr>
      <w:rPr>
        <w:rFonts w:hint="default"/>
        <w:b w:val="0"/>
        <w:i w:val="0"/>
      </w:rPr>
    </w:lvl>
    <w:lvl w:ilvl="8">
      <w:numFmt w:val="none"/>
      <w:lvlText w:val=""/>
      <w:lvlJc w:val="left"/>
      <w:pPr>
        <w:tabs>
          <w:tab w:val="num" w:pos="0"/>
        </w:tabs>
        <w:ind w:left="0" w:firstLine="0"/>
      </w:pPr>
      <w:rPr>
        <w:rFonts w:hint="default"/>
      </w:rPr>
    </w:lvl>
  </w:abstractNum>
  <w:abstractNum w:abstractNumId="3" w15:restartNumberingAfterBreak="0">
    <w:nsid w:val="16196BBF"/>
    <w:multiLevelType w:val="multilevel"/>
    <w:tmpl w:val="D8E0C814"/>
    <w:lvl w:ilvl="0">
      <w:start w:val="1"/>
      <w:numFmt w:val="decimal"/>
      <w:pStyle w:val="Exhibit"/>
      <w:suff w:val="nothing"/>
      <w:lvlText w:val="Exhibit %1"/>
      <w:lvlJc w:val="left"/>
      <w:pPr>
        <w:ind w:left="0" w:firstLine="0"/>
      </w:pPr>
      <w:rPr>
        <w:rFonts w:hint="default"/>
        <w:b/>
        <w:i w:val="0"/>
        <w:caps/>
      </w:rPr>
    </w:lvl>
    <w:lvl w:ilvl="1">
      <w:start w:val="1"/>
      <w:numFmt w:val="none"/>
      <w:suff w:val="space"/>
      <w:lvlText w:val=""/>
      <w:lvlJc w:val="left"/>
      <w:pPr>
        <w:ind w:left="0" w:firstLine="0"/>
      </w:pPr>
      <w:rPr>
        <w:rFonts w:hint="default"/>
      </w:rPr>
    </w:lvl>
    <w:lvl w:ilvl="2">
      <w:start w:val="1"/>
      <w:numFmt w:val="none"/>
      <w:lvlText w:val=""/>
      <w:lvlJc w:val="left"/>
      <w:pPr>
        <w:tabs>
          <w:tab w:val="num" w:pos="709"/>
        </w:tabs>
        <w:ind w:left="0" w:firstLine="0"/>
      </w:pPr>
      <w:rPr>
        <w:rFonts w:hint="default"/>
      </w:rPr>
    </w:lvl>
    <w:lvl w:ilvl="3">
      <w:start w:val="1"/>
      <w:numFmt w:val="none"/>
      <w:lvlText w:val=""/>
      <w:lvlJc w:val="left"/>
      <w:pPr>
        <w:tabs>
          <w:tab w:val="num" w:pos="709"/>
        </w:tabs>
        <w:ind w:left="0" w:firstLine="0"/>
      </w:pPr>
      <w:rPr>
        <w:rFonts w:hint="default"/>
      </w:rPr>
    </w:lvl>
    <w:lvl w:ilvl="4">
      <w:start w:val="1"/>
      <w:numFmt w:val="none"/>
      <w:lvlText w:val=""/>
      <w:lvlJc w:val="left"/>
      <w:pPr>
        <w:tabs>
          <w:tab w:val="num" w:pos="709"/>
        </w:tabs>
        <w:ind w:left="0" w:firstLine="0"/>
      </w:pPr>
      <w:rPr>
        <w:rFonts w:hint="default"/>
      </w:rPr>
    </w:lvl>
    <w:lvl w:ilvl="5">
      <w:start w:val="1"/>
      <w:numFmt w:val="none"/>
      <w:lvlText w:val=""/>
      <w:lvlJc w:val="left"/>
      <w:pPr>
        <w:tabs>
          <w:tab w:val="num" w:pos="709"/>
        </w:tabs>
        <w:ind w:left="0" w:firstLine="0"/>
      </w:pPr>
      <w:rPr>
        <w:rFonts w:hint="default"/>
      </w:rPr>
    </w:lvl>
    <w:lvl w:ilvl="6">
      <w:start w:val="1"/>
      <w:numFmt w:val="none"/>
      <w:lvlText w:val=""/>
      <w:lvlJc w:val="left"/>
      <w:pPr>
        <w:tabs>
          <w:tab w:val="num" w:pos="709"/>
        </w:tabs>
        <w:ind w:left="0" w:firstLine="0"/>
      </w:pPr>
      <w:rPr>
        <w:rFonts w:hint="default"/>
      </w:rPr>
    </w:lvl>
    <w:lvl w:ilvl="7">
      <w:start w:val="1"/>
      <w:numFmt w:val="none"/>
      <w:lvlText w:val=""/>
      <w:lvlJc w:val="left"/>
      <w:pPr>
        <w:tabs>
          <w:tab w:val="num" w:pos="709"/>
        </w:tabs>
        <w:ind w:left="0" w:firstLine="0"/>
      </w:pPr>
      <w:rPr>
        <w:rFonts w:hint="default"/>
      </w:rPr>
    </w:lvl>
    <w:lvl w:ilvl="8">
      <w:start w:val="1"/>
      <w:numFmt w:val="none"/>
      <w:lvlText w:val=""/>
      <w:lvlJc w:val="left"/>
      <w:pPr>
        <w:tabs>
          <w:tab w:val="num" w:pos="709"/>
        </w:tabs>
        <w:ind w:left="0" w:firstLine="0"/>
      </w:pPr>
      <w:rPr>
        <w:rFonts w:hint="default"/>
      </w:rPr>
    </w:lvl>
  </w:abstractNum>
  <w:abstractNum w:abstractNumId="4" w15:restartNumberingAfterBreak="0">
    <w:nsid w:val="1C70284F"/>
    <w:multiLevelType w:val="multilevel"/>
    <w:tmpl w:val="7B8041D0"/>
    <w:lvl w:ilvl="0">
      <w:start w:val="1"/>
      <w:numFmt w:val="bullet"/>
      <w:pStyle w:val="ListBullet"/>
      <w:lvlText w:val=""/>
      <w:lvlJc w:val="left"/>
      <w:pPr>
        <w:tabs>
          <w:tab w:val="num" w:pos="709"/>
        </w:tabs>
        <w:ind w:left="709" w:hanging="709"/>
      </w:pPr>
      <w:rPr>
        <w:rFonts w:ascii="Symbol" w:hAnsi="Symbol" w:hint="default"/>
      </w:rPr>
    </w:lvl>
    <w:lvl w:ilvl="1">
      <w:start w:val="1"/>
      <w:numFmt w:val="bullet"/>
      <w:pStyle w:val="ListBullet2"/>
      <w:lvlText w:val=""/>
      <w:lvlJc w:val="left"/>
      <w:pPr>
        <w:tabs>
          <w:tab w:val="num" w:pos="1418"/>
        </w:tabs>
        <w:ind w:left="1418" w:hanging="709"/>
      </w:pPr>
      <w:rPr>
        <w:rFonts w:ascii="Symbol" w:hAnsi="Symbol" w:hint="default"/>
      </w:rPr>
    </w:lvl>
    <w:lvl w:ilvl="2">
      <w:start w:val="1"/>
      <w:numFmt w:val="bullet"/>
      <w:pStyle w:val="ListBullet3"/>
      <w:lvlText w:val=""/>
      <w:lvlJc w:val="left"/>
      <w:pPr>
        <w:tabs>
          <w:tab w:val="num" w:pos="2126"/>
        </w:tabs>
        <w:ind w:left="2127" w:hanging="709"/>
      </w:pPr>
      <w:rPr>
        <w:rFonts w:ascii="Symbol" w:hAnsi="Symbol" w:hint="default"/>
      </w:rPr>
    </w:lvl>
    <w:lvl w:ilvl="3">
      <w:start w:val="1"/>
      <w:numFmt w:val="bullet"/>
      <w:pStyle w:val="ListBullet4"/>
      <w:lvlText w:val=""/>
      <w:lvlJc w:val="left"/>
      <w:pPr>
        <w:tabs>
          <w:tab w:val="num" w:pos="2835"/>
        </w:tabs>
        <w:ind w:left="2836" w:hanging="709"/>
      </w:pPr>
      <w:rPr>
        <w:rFonts w:ascii="Symbol" w:hAnsi="Symbol" w:hint="default"/>
      </w:rPr>
    </w:lvl>
    <w:lvl w:ilvl="4">
      <w:start w:val="1"/>
      <w:numFmt w:val="bullet"/>
      <w:pStyle w:val="ListBullet5"/>
      <w:lvlText w:val=""/>
      <w:lvlJc w:val="left"/>
      <w:pPr>
        <w:tabs>
          <w:tab w:val="num" w:pos="3544"/>
        </w:tabs>
        <w:ind w:left="3545" w:hanging="709"/>
      </w:pPr>
      <w:rPr>
        <w:rFonts w:ascii="Symbol" w:hAnsi="Symbol" w:hint="default"/>
      </w:rPr>
    </w:lvl>
    <w:lvl w:ilvl="5">
      <w:start w:val="1"/>
      <w:numFmt w:val="bullet"/>
      <w:lvlText w:val=""/>
      <w:lvlJc w:val="left"/>
      <w:pPr>
        <w:tabs>
          <w:tab w:val="num" w:pos="4253"/>
        </w:tabs>
        <w:ind w:left="4254" w:hanging="709"/>
      </w:pPr>
      <w:rPr>
        <w:rFonts w:ascii="Symbol" w:hAnsi="Symbol" w:hint="default"/>
      </w:rPr>
    </w:lvl>
    <w:lvl w:ilvl="6">
      <w:start w:val="1"/>
      <w:numFmt w:val="bullet"/>
      <w:lvlText w:val=""/>
      <w:lvlJc w:val="left"/>
      <w:pPr>
        <w:tabs>
          <w:tab w:val="num" w:pos="4961"/>
        </w:tabs>
        <w:ind w:left="4963" w:hanging="709"/>
      </w:pPr>
      <w:rPr>
        <w:rFonts w:ascii="Symbol" w:hAnsi="Symbol" w:hint="default"/>
      </w:rPr>
    </w:lvl>
    <w:lvl w:ilvl="7">
      <w:start w:val="1"/>
      <w:numFmt w:val="bullet"/>
      <w:lvlText w:val=""/>
      <w:lvlJc w:val="left"/>
      <w:pPr>
        <w:tabs>
          <w:tab w:val="num" w:pos="5670"/>
        </w:tabs>
        <w:ind w:left="5672" w:hanging="709"/>
      </w:pPr>
      <w:rPr>
        <w:rFonts w:ascii="Symbol" w:hAnsi="Symbol" w:hint="default"/>
      </w:rPr>
    </w:lvl>
    <w:lvl w:ilvl="8">
      <w:start w:val="1"/>
      <w:numFmt w:val="bullet"/>
      <w:lvlText w:val=""/>
      <w:lvlJc w:val="left"/>
      <w:pPr>
        <w:tabs>
          <w:tab w:val="num" w:pos="6379"/>
        </w:tabs>
        <w:ind w:left="6381" w:hanging="709"/>
      </w:pPr>
      <w:rPr>
        <w:rFonts w:ascii="Symbol" w:hAnsi="Symbol" w:hint="default"/>
      </w:rPr>
    </w:lvl>
  </w:abstractNum>
  <w:abstractNum w:abstractNumId="5" w15:restartNumberingAfterBreak="0">
    <w:nsid w:val="22316B5E"/>
    <w:multiLevelType w:val="multilevel"/>
    <w:tmpl w:val="86C242DE"/>
    <w:lvl w:ilvl="0">
      <w:start w:val="1"/>
      <w:numFmt w:val="decimal"/>
      <w:pStyle w:val="Level1"/>
      <w:lvlText w:val="%1."/>
      <w:lvlJc w:val="left"/>
      <w:pPr>
        <w:tabs>
          <w:tab w:val="num" w:pos="864"/>
        </w:tabs>
        <w:ind w:left="864" w:hanging="864"/>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64"/>
        </w:tabs>
        <w:ind w:left="864" w:hanging="864"/>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15"/>
        </w:tabs>
        <w:ind w:left="1715" w:hanging="864"/>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304"/>
        </w:tabs>
        <w:ind w:left="2304" w:hanging="576"/>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2880"/>
        </w:tabs>
        <w:ind w:left="2880" w:hanging="576"/>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456"/>
        </w:tabs>
        <w:ind w:left="3456" w:hanging="576"/>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Level7"/>
      <w:lvlText w:val="(%7)"/>
      <w:lvlJc w:val="left"/>
      <w:pPr>
        <w:tabs>
          <w:tab w:val="num" w:pos="4032"/>
        </w:tabs>
        <w:ind w:left="4032" w:hanging="576"/>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35C3EA2"/>
    <w:multiLevelType w:val="hybridMultilevel"/>
    <w:tmpl w:val="249CC460"/>
    <w:lvl w:ilvl="0" w:tplc="8E7CC7DE">
      <w:start w:val="1"/>
      <w:numFmt w:val="decimal"/>
      <w:lvlText w:val="(%1)"/>
      <w:lvlJc w:val="left"/>
      <w:pPr>
        <w:ind w:left="494" w:hanging="341"/>
      </w:pPr>
      <w:rPr>
        <w:rFonts w:ascii="Arial" w:eastAsia="Arial" w:hAnsi="Arial" w:cs="Arial" w:hint="default"/>
        <w:color w:val="231F20"/>
        <w:w w:val="100"/>
        <w:sz w:val="16"/>
        <w:szCs w:val="16"/>
      </w:rPr>
    </w:lvl>
    <w:lvl w:ilvl="1" w:tplc="08505CAE">
      <w:numFmt w:val="bullet"/>
      <w:lvlText w:val="•"/>
      <w:lvlJc w:val="left"/>
      <w:pPr>
        <w:ind w:left="1418" w:hanging="341"/>
      </w:pPr>
      <w:rPr>
        <w:rFonts w:hint="default"/>
      </w:rPr>
    </w:lvl>
    <w:lvl w:ilvl="2" w:tplc="FB081C2A">
      <w:numFmt w:val="bullet"/>
      <w:lvlText w:val="•"/>
      <w:lvlJc w:val="left"/>
      <w:pPr>
        <w:ind w:left="2336" w:hanging="341"/>
      </w:pPr>
      <w:rPr>
        <w:rFonts w:hint="default"/>
      </w:rPr>
    </w:lvl>
    <w:lvl w:ilvl="3" w:tplc="EF2646A8">
      <w:numFmt w:val="bullet"/>
      <w:lvlText w:val="•"/>
      <w:lvlJc w:val="left"/>
      <w:pPr>
        <w:ind w:left="3255" w:hanging="341"/>
      </w:pPr>
      <w:rPr>
        <w:rFonts w:hint="default"/>
      </w:rPr>
    </w:lvl>
    <w:lvl w:ilvl="4" w:tplc="ECF05D06">
      <w:numFmt w:val="bullet"/>
      <w:lvlText w:val="•"/>
      <w:lvlJc w:val="left"/>
      <w:pPr>
        <w:ind w:left="4173" w:hanging="341"/>
      </w:pPr>
      <w:rPr>
        <w:rFonts w:hint="default"/>
      </w:rPr>
    </w:lvl>
    <w:lvl w:ilvl="5" w:tplc="40BA6BAA">
      <w:numFmt w:val="bullet"/>
      <w:lvlText w:val="•"/>
      <w:lvlJc w:val="left"/>
      <w:pPr>
        <w:ind w:left="5092" w:hanging="341"/>
      </w:pPr>
      <w:rPr>
        <w:rFonts w:hint="default"/>
      </w:rPr>
    </w:lvl>
    <w:lvl w:ilvl="6" w:tplc="CF84AC4C">
      <w:numFmt w:val="bullet"/>
      <w:lvlText w:val="•"/>
      <w:lvlJc w:val="left"/>
      <w:pPr>
        <w:ind w:left="6010" w:hanging="341"/>
      </w:pPr>
      <w:rPr>
        <w:rFonts w:hint="default"/>
      </w:rPr>
    </w:lvl>
    <w:lvl w:ilvl="7" w:tplc="4F7EF9D0">
      <w:numFmt w:val="bullet"/>
      <w:lvlText w:val="•"/>
      <w:lvlJc w:val="left"/>
      <w:pPr>
        <w:ind w:left="6929" w:hanging="341"/>
      </w:pPr>
      <w:rPr>
        <w:rFonts w:hint="default"/>
      </w:rPr>
    </w:lvl>
    <w:lvl w:ilvl="8" w:tplc="2AB6E9BC">
      <w:numFmt w:val="bullet"/>
      <w:lvlText w:val="•"/>
      <w:lvlJc w:val="left"/>
      <w:pPr>
        <w:ind w:left="7847" w:hanging="341"/>
      </w:pPr>
      <w:rPr>
        <w:rFonts w:hint="default"/>
      </w:rPr>
    </w:lvl>
  </w:abstractNum>
  <w:abstractNum w:abstractNumId="7" w15:restartNumberingAfterBreak="0">
    <w:nsid w:val="36A22AAC"/>
    <w:multiLevelType w:val="multilevel"/>
    <w:tmpl w:val="D3A62258"/>
    <w:lvl w:ilvl="0">
      <w:start w:val="1"/>
      <w:numFmt w:val="decimal"/>
      <w:pStyle w:val="Schedule"/>
      <w:suff w:val="nothing"/>
      <w:lvlText w:val="Schedule %1"/>
      <w:lvlJc w:val="left"/>
      <w:pPr>
        <w:ind w:left="0" w:firstLine="0"/>
      </w:pPr>
      <w:rPr>
        <w:rFonts w:hint="default"/>
        <w:b/>
        <w:i w:val="0"/>
        <w:caps/>
      </w:rPr>
    </w:lvl>
    <w:lvl w:ilvl="1">
      <w:start w:val="1"/>
      <w:numFmt w:val="decimal"/>
      <w:pStyle w:val="SchedulePart"/>
      <w:suff w:val="nothing"/>
      <w:lvlText w:val="Part %2"/>
      <w:lvlJc w:val="left"/>
      <w:pPr>
        <w:ind w:left="0" w:firstLine="0"/>
      </w:pPr>
      <w:rPr>
        <w:rFonts w:hint="default"/>
      </w:rPr>
    </w:lvl>
    <w:lvl w:ilvl="2">
      <w:start w:val="1"/>
      <w:numFmt w:val="none"/>
      <w:lvlText w:val=""/>
      <w:lvlJc w:val="left"/>
      <w:pPr>
        <w:tabs>
          <w:tab w:val="num" w:pos="709"/>
        </w:tabs>
        <w:ind w:left="0" w:firstLine="0"/>
      </w:pPr>
      <w:rPr>
        <w:rFonts w:hint="default"/>
      </w:rPr>
    </w:lvl>
    <w:lvl w:ilvl="3">
      <w:start w:val="1"/>
      <w:numFmt w:val="none"/>
      <w:lvlText w:val=""/>
      <w:lvlJc w:val="left"/>
      <w:pPr>
        <w:tabs>
          <w:tab w:val="num" w:pos="709"/>
        </w:tabs>
        <w:ind w:left="0" w:firstLine="0"/>
      </w:pPr>
      <w:rPr>
        <w:rFonts w:hint="default"/>
      </w:rPr>
    </w:lvl>
    <w:lvl w:ilvl="4">
      <w:start w:val="1"/>
      <w:numFmt w:val="none"/>
      <w:lvlText w:val=""/>
      <w:lvlJc w:val="left"/>
      <w:pPr>
        <w:tabs>
          <w:tab w:val="num" w:pos="709"/>
        </w:tabs>
        <w:ind w:left="0" w:firstLine="0"/>
      </w:pPr>
      <w:rPr>
        <w:rFonts w:hint="default"/>
      </w:rPr>
    </w:lvl>
    <w:lvl w:ilvl="5">
      <w:start w:val="1"/>
      <w:numFmt w:val="none"/>
      <w:lvlText w:val=""/>
      <w:lvlJc w:val="left"/>
      <w:pPr>
        <w:tabs>
          <w:tab w:val="num" w:pos="709"/>
        </w:tabs>
        <w:ind w:left="0" w:firstLine="0"/>
      </w:pPr>
      <w:rPr>
        <w:rFonts w:hint="default"/>
      </w:rPr>
    </w:lvl>
    <w:lvl w:ilvl="6">
      <w:start w:val="1"/>
      <w:numFmt w:val="none"/>
      <w:lvlText w:val=""/>
      <w:lvlJc w:val="left"/>
      <w:pPr>
        <w:tabs>
          <w:tab w:val="num" w:pos="709"/>
        </w:tabs>
        <w:ind w:left="0" w:firstLine="0"/>
      </w:pPr>
      <w:rPr>
        <w:rFonts w:hint="default"/>
      </w:rPr>
    </w:lvl>
    <w:lvl w:ilvl="7">
      <w:start w:val="1"/>
      <w:numFmt w:val="none"/>
      <w:lvlText w:val=""/>
      <w:lvlJc w:val="left"/>
      <w:pPr>
        <w:tabs>
          <w:tab w:val="num" w:pos="709"/>
        </w:tabs>
        <w:ind w:left="0" w:firstLine="0"/>
      </w:pPr>
      <w:rPr>
        <w:rFonts w:hint="default"/>
      </w:rPr>
    </w:lvl>
    <w:lvl w:ilvl="8">
      <w:start w:val="1"/>
      <w:numFmt w:val="none"/>
      <w:lvlText w:val=""/>
      <w:lvlJc w:val="left"/>
      <w:pPr>
        <w:tabs>
          <w:tab w:val="num" w:pos="709"/>
        </w:tabs>
        <w:ind w:left="0" w:firstLine="0"/>
      </w:pPr>
      <w:rPr>
        <w:rFonts w:hint="default"/>
      </w:rPr>
    </w:lvl>
  </w:abstractNum>
  <w:abstractNum w:abstractNumId="8" w15:restartNumberingAfterBreak="0">
    <w:nsid w:val="36FE6C5A"/>
    <w:multiLevelType w:val="multilevel"/>
    <w:tmpl w:val="2BE20C7C"/>
    <w:lvl w:ilvl="0">
      <w:start w:val="1"/>
      <w:numFmt w:val="upperLetter"/>
      <w:pStyle w:val="Recitals"/>
      <w:lvlText w:val="(%1)"/>
      <w:lvlJc w:val="left"/>
      <w:pPr>
        <w:tabs>
          <w:tab w:val="num" w:pos="709"/>
        </w:tabs>
        <w:ind w:left="709" w:hanging="709"/>
      </w:pPr>
    </w:lvl>
    <w:lvl w:ilvl="1">
      <w:start w:val="1"/>
      <w:numFmt w:val="none"/>
      <w:lvlText w:val=""/>
      <w:lvlJc w:val="left"/>
      <w:pPr>
        <w:ind w:left="1418" w:hanging="709"/>
      </w:pPr>
    </w:lvl>
    <w:lvl w:ilvl="2">
      <w:start w:val="1"/>
      <w:numFmt w:val="none"/>
      <w:lvlText w:val=""/>
      <w:lvlJc w:val="left"/>
      <w:pPr>
        <w:ind w:left="2127" w:hanging="709"/>
      </w:pPr>
    </w:lvl>
    <w:lvl w:ilvl="3">
      <w:start w:val="1"/>
      <w:numFmt w:val="none"/>
      <w:lvlText w:val=""/>
      <w:lvlJc w:val="left"/>
      <w:pPr>
        <w:ind w:left="2836" w:hanging="709"/>
      </w:pPr>
    </w:lvl>
    <w:lvl w:ilvl="4">
      <w:start w:val="1"/>
      <w:numFmt w:val="none"/>
      <w:lvlText w:val=""/>
      <w:lvlJc w:val="left"/>
      <w:pPr>
        <w:ind w:left="3545" w:hanging="709"/>
      </w:pPr>
    </w:lvl>
    <w:lvl w:ilvl="5">
      <w:start w:val="1"/>
      <w:numFmt w:val="none"/>
      <w:lvlText w:val=""/>
      <w:lvlJc w:val="left"/>
      <w:pPr>
        <w:ind w:left="4254" w:hanging="709"/>
      </w:pPr>
    </w:lvl>
    <w:lvl w:ilvl="6">
      <w:start w:val="1"/>
      <w:numFmt w:val="none"/>
      <w:lvlText w:val=""/>
      <w:lvlJc w:val="left"/>
      <w:pPr>
        <w:ind w:left="4963" w:hanging="709"/>
      </w:pPr>
    </w:lvl>
    <w:lvl w:ilvl="7">
      <w:start w:val="1"/>
      <w:numFmt w:val="none"/>
      <w:lvlText w:val=""/>
      <w:lvlJc w:val="left"/>
      <w:pPr>
        <w:ind w:left="5672" w:hanging="709"/>
      </w:pPr>
    </w:lvl>
    <w:lvl w:ilvl="8">
      <w:start w:val="1"/>
      <w:numFmt w:val="none"/>
      <w:lvlText w:val=""/>
      <w:lvlJc w:val="left"/>
      <w:pPr>
        <w:ind w:left="6381" w:hanging="709"/>
      </w:pPr>
    </w:lvl>
  </w:abstractNum>
  <w:abstractNum w:abstractNumId="9" w15:restartNumberingAfterBreak="0">
    <w:nsid w:val="3948476D"/>
    <w:multiLevelType w:val="multilevel"/>
    <w:tmpl w:val="6ED420F6"/>
    <w:lvl w:ilvl="0">
      <w:start w:val="1"/>
      <w:numFmt w:val="none"/>
      <w:pStyle w:val="ScheduleTitle"/>
      <w:suff w:val="nothing"/>
      <w:lvlText w:val="%1"/>
      <w:lvlJc w:val="left"/>
      <w:pPr>
        <w:ind w:left="0" w:firstLine="0"/>
      </w:pPr>
      <w:rPr>
        <w:rFonts w:hint="default"/>
      </w:rPr>
    </w:lvl>
    <w:lvl w:ilvl="1">
      <w:start w:val="1"/>
      <w:numFmt w:val="decimal"/>
      <w:pStyle w:val="Schedule1"/>
      <w:lvlText w:val="%2."/>
      <w:lvlJc w:val="left"/>
      <w:pPr>
        <w:tabs>
          <w:tab w:val="num" w:pos="709"/>
        </w:tabs>
        <w:ind w:left="709" w:hanging="709"/>
      </w:pPr>
      <w:rPr>
        <w:rFonts w:hint="default"/>
      </w:rPr>
    </w:lvl>
    <w:lvl w:ilvl="2">
      <w:start w:val="1"/>
      <w:numFmt w:val="decimal"/>
      <w:pStyle w:val="Schedule2"/>
      <w:lvlText w:val="%2.%3"/>
      <w:lvlJc w:val="left"/>
      <w:pPr>
        <w:tabs>
          <w:tab w:val="num" w:pos="709"/>
        </w:tabs>
        <w:ind w:left="709" w:hanging="709"/>
      </w:pPr>
      <w:rPr>
        <w:rFonts w:hint="default"/>
      </w:rPr>
    </w:lvl>
    <w:lvl w:ilvl="3">
      <w:start w:val="1"/>
      <w:numFmt w:val="lowerLetter"/>
      <w:pStyle w:val="Schedule3"/>
      <w:lvlText w:val="(%4)"/>
      <w:lvlJc w:val="left"/>
      <w:pPr>
        <w:tabs>
          <w:tab w:val="num" w:pos="1418"/>
        </w:tabs>
        <w:ind w:left="1418" w:hanging="709"/>
      </w:pPr>
      <w:rPr>
        <w:rFonts w:hint="default"/>
      </w:rPr>
    </w:lvl>
    <w:lvl w:ilvl="4">
      <w:start w:val="1"/>
      <w:numFmt w:val="lowerRoman"/>
      <w:pStyle w:val="Schedule4"/>
      <w:lvlText w:val="(%5)"/>
      <w:lvlJc w:val="left"/>
      <w:pPr>
        <w:tabs>
          <w:tab w:val="num" w:pos="2126"/>
        </w:tabs>
        <w:ind w:left="2126" w:hanging="708"/>
      </w:pPr>
      <w:rPr>
        <w:rFonts w:hint="default"/>
      </w:rPr>
    </w:lvl>
    <w:lvl w:ilvl="5">
      <w:start w:val="1"/>
      <w:numFmt w:val="upperLetter"/>
      <w:pStyle w:val="Schedule5"/>
      <w:lvlText w:val="(%6)"/>
      <w:lvlJc w:val="left"/>
      <w:pPr>
        <w:tabs>
          <w:tab w:val="num" w:pos="2835"/>
        </w:tabs>
        <w:ind w:left="2835" w:hanging="709"/>
      </w:pPr>
      <w:rPr>
        <w:rFonts w:hint="default"/>
      </w:rPr>
    </w:lvl>
    <w:lvl w:ilvl="6">
      <w:start w:val="1"/>
      <w:numFmt w:val="upperRoman"/>
      <w:pStyle w:val="Schedule6"/>
      <w:lvlText w:val="(%7)"/>
      <w:lvlJc w:val="left"/>
      <w:pPr>
        <w:tabs>
          <w:tab w:val="num" w:pos="3544"/>
        </w:tabs>
        <w:ind w:left="3544" w:hanging="709"/>
      </w:pPr>
      <w:rPr>
        <w:rFonts w:hint="default"/>
      </w:rPr>
    </w:lvl>
    <w:lvl w:ilvl="7">
      <w:start w:val="1"/>
      <w:numFmt w:val="decimal"/>
      <w:pStyle w:val="Schedule7"/>
      <w:lvlText w:val="(%8)"/>
      <w:lvlJc w:val="left"/>
      <w:pPr>
        <w:tabs>
          <w:tab w:val="num" w:pos="4253"/>
        </w:tabs>
        <w:ind w:left="4253" w:hanging="709"/>
      </w:pPr>
      <w:rPr>
        <w:rFonts w:hint="default"/>
      </w:rPr>
    </w:lvl>
    <w:lvl w:ilvl="8">
      <w:start w:val="1"/>
      <w:numFmt w:val="lowerLetter"/>
      <w:pStyle w:val="Schedule8"/>
      <w:lvlText w:val="%9)"/>
      <w:lvlJc w:val="left"/>
      <w:pPr>
        <w:tabs>
          <w:tab w:val="num" w:pos="4678"/>
        </w:tabs>
        <w:ind w:left="4678" w:hanging="425"/>
      </w:pPr>
      <w:rPr>
        <w:rFonts w:hint="default"/>
      </w:rPr>
    </w:lvl>
  </w:abstractNum>
  <w:abstractNum w:abstractNumId="10" w15:restartNumberingAfterBreak="0">
    <w:nsid w:val="3D2B689C"/>
    <w:multiLevelType w:val="hybridMultilevel"/>
    <w:tmpl w:val="0D66715A"/>
    <w:lvl w:ilvl="0" w:tplc="F4609574">
      <w:start w:val="1"/>
      <w:numFmt w:val="bullet"/>
      <w:lvlText w:val=""/>
      <w:lvlJc w:val="left"/>
      <w:pPr>
        <w:ind w:left="720" w:hanging="360"/>
      </w:pPr>
      <w:rPr>
        <w:rFonts w:ascii="Symbol" w:hAnsi="Symbol" w:hint="default"/>
      </w:rPr>
    </w:lvl>
    <w:lvl w:ilvl="1" w:tplc="21ECE616" w:tentative="1">
      <w:start w:val="1"/>
      <w:numFmt w:val="bullet"/>
      <w:lvlText w:val="o"/>
      <w:lvlJc w:val="left"/>
      <w:pPr>
        <w:ind w:left="1440" w:hanging="360"/>
      </w:pPr>
      <w:rPr>
        <w:rFonts w:ascii="Courier New" w:hAnsi="Courier New" w:cs="Courier New" w:hint="default"/>
      </w:rPr>
    </w:lvl>
    <w:lvl w:ilvl="2" w:tplc="766A4CEE" w:tentative="1">
      <w:start w:val="1"/>
      <w:numFmt w:val="bullet"/>
      <w:lvlText w:val=""/>
      <w:lvlJc w:val="left"/>
      <w:pPr>
        <w:ind w:left="2160" w:hanging="360"/>
      </w:pPr>
      <w:rPr>
        <w:rFonts w:ascii="Wingdings" w:hAnsi="Wingdings" w:hint="default"/>
      </w:rPr>
    </w:lvl>
    <w:lvl w:ilvl="3" w:tplc="94644754" w:tentative="1">
      <w:start w:val="1"/>
      <w:numFmt w:val="bullet"/>
      <w:lvlText w:val=""/>
      <w:lvlJc w:val="left"/>
      <w:pPr>
        <w:ind w:left="2880" w:hanging="360"/>
      </w:pPr>
      <w:rPr>
        <w:rFonts w:ascii="Symbol" w:hAnsi="Symbol" w:hint="default"/>
      </w:rPr>
    </w:lvl>
    <w:lvl w:ilvl="4" w:tplc="C81EB0A2" w:tentative="1">
      <w:start w:val="1"/>
      <w:numFmt w:val="bullet"/>
      <w:lvlText w:val="o"/>
      <w:lvlJc w:val="left"/>
      <w:pPr>
        <w:ind w:left="3600" w:hanging="360"/>
      </w:pPr>
      <w:rPr>
        <w:rFonts w:ascii="Courier New" w:hAnsi="Courier New" w:cs="Courier New" w:hint="default"/>
      </w:rPr>
    </w:lvl>
    <w:lvl w:ilvl="5" w:tplc="E9CE0886" w:tentative="1">
      <w:start w:val="1"/>
      <w:numFmt w:val="bullet"/>
      <w:lvlText w:val=""/>
      <w:lvlJc w:val="left"/>
      <w:pPr>
        <w:ind w:left="4320" w:hanging="360"/>
      </w:pPr>
      <w:rPr>
        <w:rFonts w:ascii="Wingdings" w:hAnsi="Wingdings" w:hint="default"/>
      </w:rPr>
    </w:lvl>
    <w:lvl w:ilvl="6" w:tplc="4CC6CA16" w:tentative="1">
      <w:start w:val="1"/>
      <w:numFmt w:val="bullet"/>
      <w:lvlText w:val=""/>
      <w:lvlJc w:val="left"/>
      <w:pPr>
        <w:ind w:left="5040" w:hanging="360"/>
      </w:pPr>
      <w:rPr>
        <w:rFonts w:ascii="Symbol" w:hAnsi="Symbol" w:hint="default"/>
      </w:rPr>
    </w:lvl>
    <w:lvl w:ilvl="7" w:tplc="6B88B9C2" w:tentative="1">
      <w:start w:val="1"/>
      <w:numFmt w:val="bullet"/>
      <w:lvlText w:val="o"/>
      <w:lvlJc w:val="left"/>
      <w:pPr>
        <w:ind w:left="5760" w:hanging="360"/>
      </w:pPr>
      <w:rPr>
        <w:rFonts w:ascii="Courier New" w:hAnsi="Courier New" w:cs="Courier New" w:hint="default"/>
      </w:rPr>
    </w:lvl>
    <w:lvl w:ilvl="8" w:tplc="DD189BE0" w:tentative="1">
      <w:start w:val="1"/>
      <w:numFmt w:val="bullet"/>
      <w:lvlText w:val=""/>
      <w:lvlJc w:val="left"/>
      <w:pPr>
        <w:ind w:left="6480" w:hanging="360"/>
      </w:pPr>
      <w:rPr>
        <w:rFonts w:ascii="Wingdings" w:hAnsi="Wingdings" w:hint="default"/>
      </w:rPr>
    </w:lvl>
  </w:abstractNum>
  <w:abstractNum w:abstractNumId="11" w15:restartNumberingAfterBreak="0">
    <w:nsid w:val="523A488C"/>
    <w:multiLevelType w:val="multilevel"/>
    <w:tmpl w:val="EA7E9DD0"/>
    <w:lvl w:ilvl="0">
      <w:start w:val="1"/>
      <w:numFmt w:val="none"/>
      <w:pStyle w:val="Definition1"/>
      <w:suff w:val="nothing"/>
      <w:lvlText w:val="%1"/>
      <w:lvlJc w:val="left"/>
      <w:pPr>
        <w:ind w:left="709" w:firstLine="0"/>
      </w:pPr>
    </w:lvl>
    <w:lvl w:ilvl="1">
      <w:start w:val="1"/>
      <w:numFmt w:val="lowerLetter"/>
      <w:pStyle w:val="Definition2"/>
      <w:lvlText w:val="(%2)"/>
      <w:lvlJc w:val="left"/>
      <w:pPr>
        <w:tabs>
          <w:tab w:val="num" w:pos="1418"/>
        </w:tabs>
        <w:ind w:left="1418" w:hanging="709"/>
      </w:pPr>
    </w:lvl>
    <w:lvl w:ilvl="2">
      <w:start w:val="1"/>
      <w:numFmt w:val="lowerRoman"/>
      <w:pStyle w:val="Definition3"/>
      <w:lvlText w:val="(%3)"/>
      <w:lvlJc w:val="left"/>
      <w:pPr>
        <w:tabs>
          <w:tab w:val="num" w:pos="2126"/>
        </w:tabs>
        <w:ind w:left="2126" w:hanging="708"/>
      </w:pPr>
    </w:lvl>
    <w:lvl w:ilvl="3">
      <w:start w:val="1"/>
      <w:numFmt w:val="upperLetter"/>
      <w:pStyle w:val="Definition4"/>
      <w:lvlText w:val="(%4)"/>
      <w:lvlJc w:val="left"/>
      <w:pPr>
        <w:tabs>
          <w:tab w:val="num" w:pos="2835"/>
        </w:tabs>
        <w:ind w:left="2835" w:hanging="709"/>
      </w:pPr>
    </w:lvl>
    <w:lvl w:ilvl="4">
      <w:start w:val="1"/>
      <w:numFmt w:val="decimal"/>
      <w:pStyle w:val="Definition5"/>
      <w:lvlText w:val="(%5)"/>
      <w:lvlJc w:val="left"/>
      <w:pPr>
        <w:tabs>
          <w:tab w:val="num" w:pos="3544"/>
        </w:tabs>
        <w:ind w:left="3544" w:hanging="709"/>
      </w:pPr>
    </w:lvl>
    <w:lvl w:ilvl="5">
      <w:start w:val="27"/>
      <w:numFmt w:val="lowerLetter"/>
      <w:pStyle w:val="Definition6"/>
      <w:lvlText w:val="(%6)"/>
      <w:lvlJc w:val="left"/>
      <w:pPr>
        <w:tabs>
          <w:tab w:val="num" w:pos="4253"/>
        </w:tabs>
        <w:ind w:left="4253" w:hanging="709"/>
      </w:pPr>
    </w:lvl>
    <w:lvl w:ilvl="6">
      <w:start w:val="1"/>
      <w:numFmt w:val="upperRoman"/>
      <w:pStyle w:val="Definition7"/>
      <w:lvlText w:val="(%7)"/>
      <w:lvlJc w:val="left"/>
      <w:pPr>
        <w:tabs>
          <w:tab w:val="num" w:pos="4961"/>
        </w:tabs>
        <w:ind w:left="4961" w:hanging="708"/>
      </w:pPr>
    </w:lvl>
    <w:lvl w:ilvl="7">
      <w:start w:val="1"/>
      <w:numFmt w:val="lowerLetter"/>
      <w:pStyle w:val="Definition8"/>
      <w:lvlText w:val="(%8)"/>
      <w:lvlJc w:val="left"/>
      <w:pPr>
        <w:tabs>
          <w:tab w:val="num" w:pos="5670"/>
        </w:tabs>
        <w:ind w:left="5670" w:hanging="709"/>
      </w:pPr>
    </w:lvl>
    <w:lvl w:ilvl="8">
      <w:start w:val="1"/>
      <w:numFmt w:val="lowerRoman"/>
      <w:pStyle w:val="Definition9"/>
      <w:lvlText w:val="(%9)"/>
      <w:lvlJc w:val="left"/>
      <w:pPr>
        <w:tabs>
          <w:tab w:val="num" w:pos="6379"/>
        </w:tabs>
        <w:ind w:left="6379" w:hanging="709"/>
      </w:pPr>
    </w:lvl>
  </w:abstractNum>
  <w:abstractNum w:abstractNumId="12" w15:restartNumberingAfterBreak="0">
    <w:nsid w:val="609A3A16"/>
    <w:multiLevelType w:val="hybridMultilevel"/>
    <w:tmpl w:val="1924CF3E"/>
    <w:lvl w:ilvl="0" w:tplc="7F4ADA96">
      <w:start w:val="1"/>
      <w:numFmt w:val="bullet"/>
      <w:lvlText w:val=""/>
      <w:lvlJc w:val="left"/>
      <w:pPr>
        <w:ind w:left="720" w:hanging="360"/>
      </w:pPr>
      <w:rPr>
        <w:rFonts w:ascii="Symbol" w:hAnsi="Symbol" w:hint="default"/>
      </w:rPr>
    </w:lvl>
    <w:lvl w:ilvl="1" w:tplc="35D6B1D2" w:tentative="1">
      <w:start w:val="1"/>
      <w:numFmt w:val="bullet"/>
      <w:lvlText w:val="o"/>
      <w:lvlJc w:val="left"/>
      <w:pPr>
        <w:ind w:left="1440" w:hanging="360"/>
      </w:pPr>
      <w:rPr>
        <w:rFonts w:ascii="Courier New" w:hAnsi="Courier New" w:cs="Courier New" w:hint="default"/>
      </w:rPr>
    </w:lvl>
    <w:lvl w:ilvl="2" w:tplc="3B90789C" w:tentative="1">
      <w:start w:val="1"/>
      <w:numFmt w:val="bullet"/>
      <w:lvlText w:val=""/>
      <w:lvlJc w:val="left"/>
      <w:pPr>
        <w:ind w:left="2160" w:hanging="360"/>
      </w:pPr>
      <w:rPr>
        <w:rFonts w:ascii="Wingdings" w:hAnsi="Wingdings" w:hint="default"/>
      </w:rPr>
    </w:lvl>
    <w:lvl w:ilvl="3" w:tplc="7AC6604C" w:tentative="1">
      <w:start w:val="1"/>
      <w:numFmt w:val="bullet"/>
      <w:lvlText w:val=""/>
      <w:lvlJc w:val="left"/>
      <w:pPr>
        <w:ind w:left="2880" w:hanging="360"/>
      </w:pPr>
      <w:rPr>
        <w:rFonts w:ascii="Symbol" w:hAnsi="Symbol" w:hint="default"/>
      </w:rPr>
    </w:lvl>
    <w:lvl w:ilvl="4" w:tplc="C728E996" w:tentative="1">
      <w:start w:val="1"/>
      <w:numFmt w:val="bullet"/>
      <w:lvlText w:val="o"/>
      <w:lvlJc w:val="left"/>
      <w:pPr>
        <w:ind w:left="3600" w:hanging="360"/>
      </w:pPr>
      <w:rPr>
        <w:rFonts w:ascii="Courier New" w:hAnsi="Courier New" w:cs="Courier New" w:hint="default"/>
      </w:rPr>
    </w:lvl>
    <w:lvl w:ilvl="5" w:tplc="A71ED93C" w:tentative="1">
      <w:start w:val="1"/>
      <w:numFmt w:val="bullet"/>
      <w:lvlText w:val=""/>
      <w:lvlJc w:val="left"/>
      <w:pPr>
        <w:ind w:left="4320" w:hanging="360"/>
      </w:pPr>
      <w:rPr>
        <w:rFonts w:ascii="Wingdings" w:hAnsi="Wingdings" w:hint="default"/>
      </w:rPr>
    </w:lvl>
    <w:lvl w:ilvl="6" w:tplc="7BEEB834" w:tentative="1">
      <w:start w:val="1"/>
      <w:numFmt w:val="bullet"/>
      <w:lvlText w:val=""/>
      <w:lvlJc w:val="left"/>
      <w:pPr>
        <w:ind w:left="5040" w:hanging="360"/>
      </w:pPr>
      <w:rPr>
        <w:rFonts w:ascii="Symbol" w:hAnsi="Symbol" w:hint="default"/>
      </w:rPr>
    </w:lvl>
    <w:lvl w:ilvl="7" w:tplc="3A5A01CA" w:tentative="1">
      <w:start w:val="1"/>
      <w:numFmt w:val="bullet"/>
      <w:lvlText w:val="o"/>
      <w:lvlJc w:val="left"/>
      <w:pPr>
        <w:ind w:left="5760" w:hanging="360"/>
      </w:pPr>
      <w:rPr>
        <w:rFonts w:ascii="Courier New" w:hAnsi="Courier New" w:cs="Courier New" w:hint="default"/>
      </w:rPr>
    </w:lvl>
    <w:lvl w:ilvl="8" w:tplc="FFC4B5A2" w:tentative="1">
      <w:start w:val="1"/>
      <w:numFmt w:val="bullet"/>
      <w:lvlText w:val=""/>
      <w:lvlJc w:val="left"/>
      <w:pPr>
        <w:ind w:left="6480" w:hanging="360"/>
      </w:pPr>
      <w:rPr>
        <w:rFonts w:ascii="Wingdings" w:hAnsi="Wingdings" w:hint="default"/>
      </w:rPr>
    </w:lvl>
  </w:abstractNum>
  <w:abstractNum w:abstractNumId="13" w15:restartNumberingAfterBreak="0">
    <w:nsid w:val="61B118CB"/>
    <w:multiLevelType w:val="hybridMultilevel"/>
    <w:tmpl w:val="A58ECC80"/>
    <w:lvl w:ilvl="0" w:tplc="D7185F50">
      <w:start w:val="1"/>
      <w:numFmt w:val="bullet"/>
      <w:lvlText w:val=""/>
      <w:lvlJc w:val="left"/>
      <w:pPr>
        <w:ind w:left="360" w:hanging="360"/>
      </w:pPr>
      <w:rPr>
        <w:rFonts w:ascii="Symbol" w:hAnsi="Symbol" w:hint="default"/>
      </w:rPr>
    </w:lvl>
    <w:lvl w:ilvl="1" w:tplc="E0B63EF6" w:tentative="1">
      <w:start w:val="1"/>
      <w:numFmt w:val="bullet"/>
      <w:lvlText w:val="o"/>
      <w:lvlJc w:val="left"/>
      <w:pPr>
        <w:ind w:left="1080" w:hanging="360"/>
      </w:pPr>
      <w:rPr>
        <w:rFonts w:ascii="Courier New" w:hAnsi="Courier New" w:cs="Courier New" w:hint="default"/>
      </w:rPr>
    </w:lvl>
    <w:lvl w:ilvl="2" w:tplc="C91CD1E8" w:tentative="1">
      <w:start w:val="1"/>
      <w:numFmt w:val="bullet"/>
      <w:lvlText w:val=""/>
      <w:lvlJc w:val="left"/>
      <w:pPr>
        <w:ind w:left="1800" w:hanging="360"/>
      </w:pPr>
      <w:rPr>
        <w:rFonts w:ascii="Wingdings" w:hAnsi="Wingdings" w:hint="default"/>
      </w:rPr>
    </w:lvl>
    <w:lvl w:ilvl="3" w:tplc="6C10348A" w:tentative="1">
      <w:start w:val="1"/>
      <w:numFmt w:val="bullet"/>
      <w:lvlText w:val=""/>
      <w:lvlJc w:val="left"/>
      <w:pPr>
        <w:ind w:left="2520" w:hanging="360"/>
      </w:pPr>
      <w:rPr>
        <w:rFonts w:ascii="Symbol" w:hAnsi="Symbol" w:hint="default"/>
      </w:rPr>
    </w:lvl>
    <w:lvl w:ilvl="4" w:tplc="2458C7F4" w:tentative="1">
      <w:start w:val="1"/>
      <w:numFmt w:val="bullet"/>
      <w:lvlText w:val="o"/>
      <w:lvlJc w:val="left"/>
      <w:pPr>
        <w:ind w:left="3240" w:hanging="360"/>
      </w:pPr>
      <w:rPr>
        <w:rFonts w:ascii="Courier New" w:hAnsi="Courier New" w:cs="Courier New" w:hint="default"/>
      </w:rPr>
    </w:lvl>
    <w:lvl w:ilvl="5" w:tplc="7B4CB556" w:tentative="1">
      <w:start w:val="1"/>
      <w:numFmt w:val="bullet"/>
      <w:lvlText w:val=""/>
      <w:lvlJc w:val="left"/>
      <w:pPr>
        <w:ind w:left="3960" w:hanging="360"/>
      </w:pPr>
      <w:rPr>
        <w:rFonts w:ascii="Wingdings" w:hAnsi="Wingdings" w:hint="default"/>
      </w:rPr>
    </w:lvl>
    <w:lvl w:ilvl="6" w:tplc="26CA9870" w:tentative="1">
      <w:start w:val="1"/>
      <w:numFmt w:val="bullet"/>
      <w:lvlText w:val=""/>
      <w:lvlJc w:val="left"/>
      <w:pPr>
        <w:ind w:left="4680" w:hanging="360"/>
      </w:pPr>
      <w:rPr>
        <w:rFonts w:ascii="Symbol" w:hAnsi="Symbol" w:hint="default"/>
      </w:rPr>
    </w:lvl>
    <w:lvl w:ilvl="7" w:tplc="A7C009AA" w:tentative="1">
      <w:start w:val="1"/>
      <w:numFmt w:val="bullet"/>
      <w:lvlText w:val="o"/>
      <w:lvlJc w:val="left"/>
      <w:pPr>
        <w:ind w:left="5400" w:hanging="360"/>
      </w:pPr>
      <w:rPr>
        <w:rFonts w:ascii="Courier New" w:hAnsi="Courier New" w:cs="Courier New" w:hint="default"/>
      </w:rPr>
    </w:lvl>
    <w:lvl w:ilvl="8" w:tplc="19342B96" w:tentative="1">
      <w:start w:val="1"/>
      <w:numFmt w:val="bullet"/>
      <w:lvlText w:val=""/>
      <w:lvlJc w:val="left"/>
      <w:pPr>
        <w:ind w:left="6120" w:hanging="360"/>
      </w:pPr>
      <w:rPr>
        <w:rFonts w:ascii="Wingdings" w:hAnsi="Wingdings" w:hint="default"/>
      </w:rPr>
    </w:lvl>
  </w:abstractNum>
  <w:abstractNum w:abstractNumId="14" w15:restartNumberingAfterBreak="0">
    <w:nsid w:val="651400AD"/>
    <w:multiLevelType w:val="multilevel"/>
    <w:tmpl w:val="6A360460"/>
    <w:lvl w:ilvl="0">
      <w:start w:val="1"/>
      <w:numFmt w:val="decimal"/>
      <w:pStyle w:val="Num1"/>
      <w:lvlText w:val="%1."/>
      <w:lvlJc w:val="left"/>
      <w:pPr>
        <w:tabs>
          <w:tab w:val="num" w:pos="709"/>
        </w:tabs>
        <w:ind w:left="709" w:hanging="709"/>
      </w:pPr>
      <w:rPr>
        <w:rFonts w:hint="default"/>
      </w:rPr>
    </w:lvl>
    <w:lvl w:ilvl="1">
      <w:start w:val="1"/>
      <w:numFmt w:val="lowerRoman"/>
      <w:pStyle w:val="Num2"/>
      <w:lvlText w:val="(%2)"/>
      <w:lvlJc w:val="left"/>
      <w:pPr>
        <w:tabs>
          <w:tab w:val="num" w:pos="1418"/>
        </w:tabs>
        <w:ind w:left="1418" w:hanging="709"/>
      </w:pPr>
      <w:rPr>
        <w:rFonts w:ascii="Calibri" w:hAnsi="Calibri" w:hint="default"/>
      </w:rPr>
    </w:lvl>
    <w:lvl w:ilvl="2">
      <w:start w:val="1"/>
      <w:numFmt w:val="bullet"/>
      <w:pStyle w:val="Num3"/>
      <w:lvlText w:val=""/>
      <w:lvlJc w:val="left"/>
      <w:pPr>
        <w:tabs>
          <w:tab w:val="num" w:pos="2127"/>
        </w:tabs>
        <w:ind w:left="2127" w:hanging="709"/>
      </w:pPr>
      <w:rPr>
        <w:rFonts w:ascii="Symbol" w:hAnsi="Symbol" w:hint="default"/>
      </w:rPr>
    </w:lvl>
    <w:lvl w:ilvl="3">
      <w:start w:val="1"/>
      <w:numFmt w:val="upperLetter"/>
      <w:pStyle w:val="Num4"/>
      <w:lvlText w:val="(%4)"/>
      <w:lvlJc w:val="left"/>
      <w:pPr>
        <w:tabs>
          <w:tab w:val="num" w:pos="2836"/>
        </w:tabs>
        <w:ind w:left="2836" w:hanging="709"/>
      </w:pPr>
      <w:rPr>
        <w:rFonts w:hint="default"/>
      </w:rPr>
    </w:lvl>
    <w:lvl w:ilvl="4">
      <w:start w:val="27"/>
      <w:numFmt w:val="lowerLetter"/>
      <w:pStyle w:val="Num5"/>
      <w:lvlText w:val="(%5)"/>
      <w:lvlJc w:val="left"/>
      <w:pPr>
        <w:tabs>
          <w:tab w:val="num" w:pos="3545"/>
        </w:tabs>
        <w:ind w:left="3545" w:hanging="709"/>
      </w:pPr>
      <w:rPr>
        <w:rFonts w:hint="default"/>
      </w:rPr>
    </w:lvl>
    <w:lvl w:ilvl="5">
      <w:start w:val="1"/>
      <w:numFmt w:val="decimal"/>
      <w:pStyle w:val="Num6"/>
      <w:lvlText w:val="(%6)"/>
      <w:lvlJc w:val="left"/>
      <w:pPr>
        <w:tabs>
          <w:tab w:val="num" w:pos="4254"/>
        </w:tabs>
        <w:ind w:left="4254" w:hanging="709"/>
      </w:pPr>
      <w:rPr>
        <w:rFonts w:hint="default"/>
      </w:rPr>
    </w:lvl>
    <w:lvl w:ilvl="6">
      <w:start w:val="1"/>
      <w:numFmt w:val="lowerLetter"/>
      <w:pStyle w:val="Num7"/>
      <w:lvlText w:val="(%7)"/>
      <w:lvlJc w:val="left"/>
      <w:pPr>
        <w:tabs>
          <w:tab w:val="num" w:pos="4963"/>
        </w:tabs>
        <w:ind w:left="4963" w:hanging="709"/>
      </w:pPr>
      <w:rPr>
        <w:rFonts w:hint="default"/>
      </w:rPr>
    </w:lvl>
    <w:lvl w:ilvl="7">
      <w:start w:val="1"/>
      <w:numFmt w:val="lowerRoman"/>
      <w:pStyle w:val="Num8"/>
      <w:lvlText w:val="(%8)"/>
      <w:lvlJc w:val="left"/>
      <w:pPr>
        <w:tabs>
          <w:tab w:val="num" w:pos="5672"/>
        </w:tabs>
        <w:ind w:left="5672" w:hanging="709"/>
      </w:pPr>
      <w:rPr>
        <w:rFonts w:hint="default"/>
      </w:rPr>
    </w:lvl>
    <w:lvl w:ilvl="8">
      <w:start w:val="1"/>
      <w:numFmt w:val="lowerLetter"/>
      <w:pStyle w:val="Num9"/>
      <w:lvlText w:val="%9."/>
      <w:lvlJc w:val="left"/>
      <w:pPr>
        <w:tabs>
          <w:tab w:val="num" w:pos="6381"/>
        </w:tabs>
        <w:ind w:left="6381" w:hanging="709"/>
      </w:pPr>
      <w:rPr>
        <w:rFonts w:hint="default"/>
      </w:rPr>
    </w:lvl>
  </w:abstractNum>
  <w:abstractNum w:abstractNumId="15" w15:restartNumberingAfterBreak="0">
    <w:nsid w:val="6768400B"/>
    <w:multiLevelType w:val="multilevel"/>
    <w:tmpl w:val="66565930"/>
    <w:lvl w:ilvl="0">
      <w:start w:val="1"/>
      <w:numFmt w:val="decimal"/>
      <w:pStyle w:val="ListNumber"/>
      <w:lvlText w:val="%1."/>
      <w:lvlJc w:val="left"/>
      <w:pPr>
        <w:tabs>
          <w:tab w:val="num" w:pos="709"/>
        </w:tabs>
        <w:ind w:left="709" w:hanging="709"/>
      </w:pPr>
      <w:rPr>
        <w:rFonts w:hint="default"/>
      </w:rPr>
    </w:lvl>
    <w:lvl w:ilvl="1">
      <w:start w:val="1"/>
      <w:numFmt w:val="decimal"/>
      <w:lvlRestart w:val="0"/>
      <w:pStyle w:val="ListNumber2"/>
      <w:lvlText w:val="%2."/>
      <w:lvlJc w:val="left"/>
      <w:pPr>
        <w:tabs>
          <w:tab w:val="num" w:pos="1418"/>
        </w:tabs>
        <w:ind w:left="1418" w:hanging="709"/>
      </w:pPr>
      <w:rPr>
        <w:rFonts w:hint="default"/>
      </w:rPr>
    </w:lvl>
    <w:lvl w:ilvl="2">
      <w:start w:val="1"/>
      <w:numFmt w:val="decimal"/>
      <w:lvlRestart w:val="0"/>
      <w:pStyle w:val="ListNumber3"/>
      <w:lvlText w:val="%3."/>
      <w:lvlJc w:val="left"/>
      <w:pPr>
        <w:tabs>
          <w:tab w:val="num" w:pos="2127"/>
        </w:tabs>
        <w:ind w:left="2127" w:hanging="709"/>
      </w:pPr>
      <w:rPr>
        <w:rFonts w:hint="default"/>
      </w:rPr>
    </w:lvl>
    <w:lvl w:ilvl="3">
      <w:start w:val="1"/>
      <w:numFmt w:val="decimal"/>
      <w:lvlRestart w:val="0"/>
      <w:pStyle w:val="ListNumber4"/>
      <w:lvlText w:val="%4."/>
      <w:lvlJc w:val="left"/>
      <w:pPr>
        <w:tabs>
          <w:tab w:val="num" w:pos="2836"/>
        </w:tabs>
        <w:ind w:left="2836" w:hanging="709"/>
      </w:pPr>
      <w:rPr>
        <w:rFonts w:hint="default"/>
      </w:rPr>
    </w:lvl>
    <w:lvl w:ilvl="4">
      <w:start w:val="1"/>
      <w:numFmt w:val="decimal"/>
      <w:lvlRestart w:val="0"/>
      <w:pStyle w:val="ListNumber5"/>
      <w:lvlText w:val="%5."/>
      <w:lvlJc w:val="left"/>
      <w:pPr>
        <w:tabs>
          <w:tab w:val="num" w:pos="3545"/>
        </w:tabs>
        <w:ind w:left="3545" w:hanging="709"/>
      </w:pPr>
      <w:rPr>
        <w:rFonts w:hint="default"/>
      </w:rPr>
    </w:lvl>
    <w:lvl w:ilvl="5">
      <w:start w:val="1"/>
      <w:numFmt w:val="decimal"/>
      <w:lvlRestart w:val="0"/>
      <w:lvlText w:val="%6."/>
      <w:lvlJc w:val="left"/>
      <w:pPr>
        <w:tabs>
          <w:tab w:val="num" w:pos="4254"/>
        </w:tabs>
        <w:ind w:left="4254" w:hanging="709"/>
      </w:pPr>
      <w:rPr>
        <w:rFonts w:hint="default"/>
      </w:rPr>
    </w:lvl>
    <w:lvl w:ilvl="6">
      <w:start w:val="1"/>
      <w:numFmt w:val="decimal"/>
      <w:lvlRestart w:val="0"/>
      <w:lvlText w:val="%7."/>
      <w:lvlJc w:val="left"/>
      <w:pPr>
        <w:tabs>
          <w:tab w:val="num" w:pos="4963"/>
        </w:tabs>
        <w:ind w:left="4963" w:hanging="709"/>
      </w:pPr>
      <w:rPr>
        <w:rFonts w:hint="default"/>
      </w:rPr>
    </w:lvl>
    <w:lvl w:ilvl="7">
      <w:start w:val="1"/>
      <w:numFmt w:val="decimal"/>
      <w:lvlRestart w:val="0"/>
      <w:lvlText w:val="%8."/>
      <w:lvlJc w:val="left"/>
      <w:pPr>
        <w:tabs>
          <w:tab w:val="num" w:pos="5672"/>
        </w:tabs>
        <w:ind w:left="5672" w:hanging="709"/>
      </w:pPr>
      <w:rPr>
        <w:rFonts w:hint="default"/>
      </w:rPr>
    </w:lvl>
    <w:lvl w:ilvl="8">
      <w:start w:val="1"/>
      <w:numFmt w:val="decimal"/>
      <w:lvlRestart w:val="0"/>
      <w:lvlText w:val="%9."/>
      <w:lvlJc w:val="left"/>
      <w:pPr>
        <w:tabs>
          <w:tab w:val="num" w:pos="6381"/>
        </w:tabs>
        <w:ind w:left="6381" w:hanging="709"/>
      </w:pPr>
      <w:rPr>
        <w:rFonts w:hint="default"/>
      </w:rPr>
    </w:lvl>
  </w:abstractNum>
  <w:abstractNum w:abstractNumId="16" w15:restartNumberingAfterBreak="0">
    <w:nsid w:val="76846B3D"/>
    <w:multiLevelType w:val="hybridMultilevel"/>
    <w:tmpl w:val="C5922050"/>
    <w:lvl w:ilvl="0" w:tplc="030C6018">
      <w:start w:val="1"/>
      <w:numFmt w:val="decimal"/>
      <w:lvlText w:val="(%1)"/>
      <w:lvlJc w:val="left"/>
      <w:pPr>
        <w:ind w:left="517" w:hanging="360"/>
      </w:pPr>
      <w:rPr>
        <w:rFonts w:ascii="Arial" w:eastAsia="Arial" w:hAnsi="Arial" w:cs="Arial" w:hint="default"/>
        <w:b w:val="0"/>
        <w:bCs w:val="0"/>
        <w:i w:val="0"/>
        <w:iCs w:val="0"/>
        <w:color w:val="231F20"/>
        <w:w w:val="100"/>
        <w:sz w:val="16"/>
        <w:szCs w:val="16"/>
      </w:rPr>
    </w:lvl>
    <w:lvl w:ilvl="1" w:tplc="0F3857E8">
      <w:start w:val="1"/>
      <w:numFmt w:val="lowerLetter"/>
      <w:lvlText w:val="%2."/>
      <w:lvlJc w:val="left"/>
      <w:pPr>
        <w:ind w:left="1237" w:hanging="360"/>
      </w:pPr>
    </w:lvl>
    <w:lvl w:ilvl="2" w:tplc="D2DE17AA">
      <w:start w:val="1"/>
      <w:numFmt w:val="lowerRoman"/>
      <w:lvlText w:val="%3."/>
      <w:lvlJc w:val="right"/>
      <w:pPr>
        <w:ind w:left="1957" w:hanging="180"/>
      </w:pPr>
    </w:lvl>
    <w:lvl w:ilvl="3" w:tplc="4C386D70">
      <w:start w:val="1"/>
      <w:numFmt w:val="decimal"/>
      <w:lvlText w:val="%4."/>
      <w:lvlJc w:val="left"/>
      <w:pPr>
        <w:ind w:left="2677" w:hanging="360"/>
      </w:pPr>
    </w:lvl>
    <w:lvl w:ilvl="4" w:tplc="EA2C1B28">
      <w:start w:val="1"/>
      <w:numFmt w:val="lowerLetter"/>
      <w:lvlText w:val="%5."/>
      <w:lvlJc w:val="left"/>
      <w:pPr>
        <w:ind w:left="3397" w:hanging="360"/>
      </w:pPr>
    </w:lvl>
    <w:lvl w:ilvl="5" w:tplc="2480C7FA">
      <w:start w:val="1"/>
      <w:numFmt w:val="lowerRoman"/>
      <w:lvlText w:val="%6."/>
      <w:lvlJc w:val="right"/>
      <w:pPr>
        <w:ind w:left="4117" w:hanging="180"/>
      </w:pPr>
    </w:lvl>
    <w:lvl w:ilvl="6" w:tplc="5CCC62B6">
      <w:start w:val="1"/>
      <w:numFmt w:val="decimal"/>
      <w:lvlText w:val="%7."/>
      <w:lvlJc w:val="left"/>
      <w:pPr>
        <w:ind w:left="4837" w:hanging="360"/>
      </w:pPr>
    </w:lvl>
    <w:lvl w:ilvl="7" w:tplc="641AB1A6">
      <w:start w:val="1"/>
      <w:numFmt w:val="lowerLetter"/>
      <w:lvlText w:val="%8."/>
      <w:lvlJc w:val="left"/>
      <w:pPr>
        <w:ind w:left="5557" w:hanging="360"/>
      </w:pPr>
    </w:lvl>
    <w:lvl w:ilvl="8" w:tplc="AAA29E02">
      <w:start w:val="1"/>
      <w:numFmt w:val="lowerRoman"/>
      <w:lvlText w:val="%9."/>
      <w:lvlJc w:val="right"/>
      <w:pPr>
        <w:ind w:left="6277" w:hanging="180"/>
      </w:pPr>
    </w:lvl>
  </w:abstractNum>
  <w:abstractNum w:abstractNumId="17" w15:restartNumberingAfterBreak="0">
    <w:nsid w:val="77762ADF"/>
    <w:multiLevelType w:val="hybridMultilevel"/>
    <w:tmpl w:val="ACCA2CF4"/>
    <w:lvl w:ilvl="0" w:tplc="04522432">
      <w:start w:val="1"/>
      <w:numFmt w:val="bullet"/>
      <w:lvlText w:val=""/>
      <w:lvlJc w:val="left"/>
      <w:pPr>
        <w:ind w:left="720" w:hanging="360"/>
      </w:pPr>
      <w:rPr>
        <w:rFonts w:ascii="Symbol" w:hAnsi="Symbol" w:hint="default"/>
      </w:rPr>
    </w:lvl>
    <w:lvl w:ilvl="1" w:tplc="08AAA7FA" w:tentative="1">
      <w:start w:val="1"/>
      <w:numFmt w:val="bullet"/>
      <w:lvlText w:val="o"/>
      <w:lvlJc w:val="left"/>
      <w:pPr>
        <w:ind w:left="1440" w:hanging="360"/>
      </w:pPr>
      <w:rPr>
        <w:rFonts w:ascii="Courier New" w:hAnsi="Courier New" w:cs="Courier New" w:hint="default"/>
      </w:rPr>
    </w:lvl>
    <w:lvl w:ilvl="2" w:tplc="A19ED1C6" w:tentative="1">
      <w:start w:val="1"/>
      <w:numFmt w:val="bullet"/>
      <w:lvlText w:val=""/>
      <w:lvlJc w:val="left"/>
      <w:pPr>
        <w:ind w:left="2160" w:hanging="360"/>
      </w:pPr>
      <w:rPr>
        <w:rFonts w:ascii="Wingdings" w:hAnsi="Wingdings" w:hint="default"/>
      </w:rPr>
    </w:lvl>
    <w:lvl w:ilvl="3" w:tplc="4BC2B5AC">
      <w:start w:val="1"/>
      <w:numFmt w:val="bullet"/>
      <w:lvlText w:val=""/>
      <w:lvlJc w:val="left"/>
      <w:pPr>
        <w:ind w:left="2880" w:hanging="360"/>
      </w:pPr>
      <w:rPr>
        <w:rFonts w:ascii="Symbol" w:hAnsi="Symbol" w:hint="default"/>
      </w:rPr>
    </w:lvl>
    <w:lvl w:ilvl="4" w:tplc="3EE6869E" w:tentative="1">
      <w:start w:val="1"/>
      <w:numFmt w:val="bullet"/>
      <w:lvlText w:val="o"/>
      <w:lvlJc w:val="left"/>
      <w:pPr>
        <w:ind w:left="3600" w:hanging="360"/>
      </w:pPr>
      <w:rPr>
        <w:rFonts w:ascii="Courier New" w:hAnsi="Courier New" w:cs="Courier New" w:hint="default"/>
      </w:rPr>
    </w:lvl>
    <w:lvl w:ilvl="5" w:tplc="008412DC" w:tentative="1">
      <w:start w:val="1"/>
      <w:numFmt w:val="bullet"/>
      <w:lvlText w:val=""/>
      <w:lvlJc w:val="left"/>
      <w:pPr>
        <w:ind w:left="4320" w:hanging="360"/>
      </w:pPr>
      <w:rPr>
        <w:rFonts w:ascii="Wingdings" w:hAnsi="Wingdings" w:hint="default"/>
      </w:rPr>
    </w:lvl>
    <w:lvl w:ilvl="6" w:tplc="FB404AFC" w:tentative="1">
      <w:start w:val="1"/>
      <w:numFmt w:val="bullet"/>
      <w:lvlText w:val=""/>
      <w:lvlJc w:val="left"/>
      <w:pPr>
        <w:ind w:left="5040" w:hanging="360"/>
      </w:pPr>
      <w:rPr>
        <w:rFonts w:ascii="Symbol" w:hAnsi="Symbol" w:hint="default"/>
      </w:rPr>
    </w:lvl>
    <w:lvl w:ilvl="7" w:tplc="0890BA1C" w:tentative="1">
      <w:start w:val="1"/>
      <w:numFmt w:val="bullet"/>
      <w:lvlText w:val="o"/>
      <w:lvlJc w:val="left"/>
      <w:pPr>
        <w:ind w:left="5760" w:hanging="360"/>
      </w:pPr>
      <w:rPr>
        <w:rFonts w:ascii="Courier New" w:hAnsi="Courier New" w:cs="Courier New" w:hint="default"/>
      </w:rPr>
    </w:lvl>
    <w:lvl w:ilvl="8" w:tplc="7C1E1DF2" w:tentative="1">
      <w:start w:val="1"/>
      <w:numFmt w:val="bullet"/>
      <w:lvlText w:val=""/>
      <w:lvlJc w:val="left"/>
      <w:pPr>
        <w:ind w:left="6480" w:hanging="360"/>
      </w:pPr>
      <w:rPr>
        <w:rFonts w:ascii="Wingdings" w:hAnsi="Wingdings" w:hint="default"/>
      </w:rPr>
    </w:lvl>
  </w:abstractNum>
  <w:abstractNum w:abstractNumId="18" w15:restartNumberingAfterBreak="0">
    <w:nsid w:val="795A3FB5"/>
    <w:multiLevelType w:val="hybridMultilevel"/>
    <w:tmpl w:val="923A60CA"/>
    <w:lvl w:ilvl="0" w:tplc="A7387EF6">
      <w:start w:val="1"/>
      <w:numFmt w:val="upperLetter"/>
      <w:lvlText w:val="(%1)"/>
      <w:lvlJc w:val="left"/>
      <w:pPr>
        <w:ind w:left="720" w:hanging="360"/>
      </w:pPr>
      <w:rPr>
        <w:rFonts w:hint="default"/>
      </w:rPr>
    </w:lvl>
    <w:lvl w:ilvl="1" w:tplc="25580748" w:tentative="1">
      <w:start w:val="1"/>
      <w:numFmt w:val="lowerLetter"/>
      <w:lvlText w:val="%2."/>
      <w:lvlJc w:val="left"/>
      <w:pPr>
        <w:ind w:left="1440" w:hanging="360"/>
      </w:pPr>
    </w:lvl>
    <w:lvl w:ilvl="2" w:tplc="C79C4C42" w:tentative="1">
      <w:start w:val="1"/>
      <w:numFmt w:val="lowerRoman"/>
      <w:lvlText w:val="%3."/>
      <w:lvlJc w:val="right"/>
      <w:pPr>
        <w:ind w:left="2160" w:hanging="180"/>
      </w:pPr>
    </w:lvl>
    <w:lvl w:ilvl="3" w:tplc="F1CEEB0C" w:tentative="1">
      <w:start w:val="1"/>
      <w:numFmt w:val="decimal"/>
      <w:lvlText w:val="%4."/>
      <w:lvlJc w:val="left"/>
      <w:pPr>
        <w:ind w:left="2880" w:hanging="360"/>
      </w:pPr>
    </w:lvl>
    <w:lvl w:ilvl="4" w:tplc="C9B6D9BA" w:tentative="1">
      <w:start w:val="1"/>
      <w:numFmt w:val="lowerLetter"/>
      <w:lvlText w:val="%5."/>
      <w:lvlJc w:val="left"/>
      <w:pPr>
        <w:ind w:left="3600" w:hanging="360"/>
      </w:pPr>
    </w:lvl>
    <w:lvl w:ilvl="5" w:tplc="460217BE" w:tentative="1">
      <w:start w:val="1"/>
      <w:numFmt w:val="lowerRoman"/>
      <w:lvlText w:val="%6."/>
      <w:lvlJc w:val="right"/>
      <w:pPr>
        <w:ind w:left="4320" w:hanging="180"/>
      </w:pPr>
    </w:lvl>
    <w:lvl w:ilvl="6" w:tplc="3092D8DC" w:tentative="1">
      <w:start w:val="1"/>
      <w:numFmt w:val="decimal"/>
      <w:lvlText w:val="%7."/>
      <w:lvlJc w:val="left"/>
      <w:pPr>
        <w:ind w:left="5040" w:hanging="360"/>
      </w:pPr>
    </w:lvl>
    <w:lvl w:ilvl="7" w:tplc="07F48B30" w:tentative="1">
      <w:start w:val="1"/>
      <w:numFmt w:val="lowerLetter"/>
      <w:lvlText w:val="%8."/>
      <w:lvlJc w:val="left"/>
      <w:pPr>
        <w:ind w:left="5760" w:hanging="360"/>
      </w:pPr>
    </w:lvl>
    <w:lvl w:ilvl="8" w:tplc="274E576C" w:tentative="1">
      <w:start w:val="1"/>
      <w:numFmt w:val="lowerRoman"/>
      <w:lvlText w:val="%9."/>
      <w:lvlJc w:val="right"/>
      <w:pPr>
        <w:ind w:left="6480" w:hanging="180"/>
      </w:pPr>
    </w:lvl>
  </w:abstractNum>
  <w:abstractNum w:abstractNumId="19" w15:restartNumberingAfterBreak="0">
    <w:nsid w:val="7F967BE0"/>
    <w:multiLevelType w:val="multilevel"/>
    <w:tmpl w:val="866ECA6A"/>
    <w:lvl w:ilvl="0">
      <w:start w:val="1"/>
      <w:numFmt w:val="decimal"/>
      <w:pStyle w:val="TSLv1List1"/>
      <w:lvlText w:val="%1."/>
      <w:lvlJc w:val="left"/>
      <w:pPr>
        <w:tabs>
          <w:tab w:val="num" w:pos="851"/>
        </w:tabs>
        <w:ind w:left="851" w:hanging="851"/>
      </w:pPr>
      <w:rPr>
        <w:rFonts w:ascii="Calibri" w:hAnsi="Calibri" w:hint="default"/>
        <w:b w:val="0"/>
        <w:i w:val="0"/>
        <w:sz w:val="22"/>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num w:numId="1" w16cid:durableId="1281717148">
    <w:abstractNumId w:val="11"/>
  </w:num>
  <w:num w:numId="2" w16cid:durableId="1392730019">
    <w:abstractNumId w:val="1"/>
  </w:num>
  <w:num w:numId="3" w16cid:durableId="1908228232">
    <w:abstractNumId w:val="4"/>
  </w:num>
  <w:num w:numId="4" w16cid:durableId="289288136">
    <w:abstractNumId w:val="15"/>
  </w:num>
  <w:num w:numId="5" w16cid:durableId="1157695416">
    <w:abstractNumId w:val="0"/>
  </w:num>
  <w:num w:numId="6" w16cid:durableId="1780954375">
    <w:abstractNumId w:val="8"/>
  </w:num>
  <w:num w:numId="7" w16cid:durableId="323244134">
    <w:abstractNumId w:val="9"/>
  </w:num>
  <w:num w:numId="8" w16cid:durableId="53436703">
    <w:abstractNumId w:val="14"/>
  </w:num>
  <w:num w:numId="9" w16cid:durableId="8696822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4412487">
    <w:abstractNumId w:val="3"/>
  </w:num>
  <w:num w:numId="11" w16cid:durableId="1418282502">
    <w:abstractNumId w:val="2"/>
  </w:num>
  <w:num w:numId="12" w16cid:durableId="1468936790">
    <w:abstractNumId w:val="5"/>
  </w:num>
  <w:num w:numId="13" w16cid:durableId="7164411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68379524">
    <w:abstractNumId w:val="6"/>
  </w:num>
  <w:num w:numId="15" w16cid:durableId="1556353731">
    <w:abstractNumId w:val="4"/>
  </w:num>
  <w:num w:numId="16" w16cid:durableId="1466318216">
    <w:abstractNumId w:val="17"/>
  </w:num>
  <w:num w:numId="17" w16cid:durableId="75712084">
    <w:abstractNumId w:val="4"/>
  </w:num>
  <w:num w:numId="18" w16cid:durableId="50421381">
    <w:abstractNumId w:val="4"/>
  </w:num>
  <w:num w:numId="19" w16cid:durableId="9670494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02093945">
    <w:abstractNumId w:val="13"/>
  </w:num>
  <w:num w:numId="21" w16cid:durableId="663896430">
    <w:abstractNumId w:val="13"/>
  </w:num>
  <w:num w:numId="22" w16cid:durableId="231820059">
    <w:abstractNumId w:val="10"/>
  </w:num>
  <w:num w:numId="23" w16cid:durableId="1426999331">
    <w:abstractNumId w:val="12"/>
  </w:num>
  <w:num w:numId="24" w16cid:durableId="1942109046">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oNotTrackFormatting/>
  <w:styleLockQFSet/>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 w:name="KEOutsideDoc" w:val="True"/>
  </w:docVars>
  <w:rsids>
    <w:rsidRoot w:val="009C774F"/>
    <w:rsid w:val="000008DF"/>
    <w:rsid w:val="00000AC6"/>
    <w:rsid w:val="0000251E"/>
    <w:rsid w:val="0000310F"/>
    <w:rsid w:val="00004DD9"/>
    <w:rsid w:val="00006AC4"/>
    <w:rsid w:val="00006D78"/>
    <w:rsid w:val="00012CDE"/>
    <w:rsid w:val="00013A1C"/>
    <w:rsid w:val="000150A2"/>
    <w:rsid w:val="00016C5C"/>
    <w:rsid w:val="000178E6"/>
    <w:rsid w:val="0001798D"/>
    <w:rsid w:val="00020A12"/>
    <w:rsid w:val="00020E78"/>
    <w:rsid w:val="00026366"/>
    <w:rsid w:val="000316D0"/>
    <w:rsid w:val="0003224E"/>
    <w:rsid w:val="000328DB"/>
    <w:rsid w:val="0003291A"/>
    <w:rsid w:val="0003487C"/>
    <w:rsid w:val="000349A5"/>
    <w:rsid w:val="0003688F"/>
    <w:rsid w:val="000401A0"/>
    <w:rsid w:val="000405D4"/>
    <w:rsid w:val="00042800"/>
    <w:rsid w:val="0004470D"/>
    <w:rsid w:val="00047670"/>
    <w:rsid w:val="0005102F"/>
    <w:rsid w:val="00051083"/>
    <w:rsid w:val="00053AE2"/>
    <w:rsid w:val="00057077"/>
    <w:rsid w:val="00061003"/>
    <w:rsid w:val="000614B1"/>
    <w:rsid w:val="00062325"/>
    <w:rsid w:val="00065435"/>
    <w:rsid w:val="00066091"/>
    <w:rsid w:val="00067A29"/>
    <w:rsid w:val="00067D97"/>
    <w:rsid w:val="00074E7B"/>
    <w:rsid w:val="000778BF"/>
    <w:rsid w:val="000832BB"/>
    <w:rsid w:val="00083672"/>
    <w:rsid w:val="000860CD"/>
    <w:rsid w:val="00086FC8"/>
    <w:rsid w:val="00094C71"/>
    <w:rsid w:val="00097CE1"/>
    <w:rsid w:val="00097D8F"/>
    <w:rsid w:val="000A260C"/>
    <w:rsid w:val="000A462A"/>
    <w:rsid w:val="000A4B26"/>
    <w:rsid w:val="000A6141"/>
    <w:rsid w:val="000A79B5"/>
    <w:rsid w:val="000A7AD2"/>
    <w:rsid w:val="000B1BCE"/>
    <w:rsid w:val="000B208D"/>
    <w:rsid w:val="000B2D5C"/>
    <w:rsid w:val="000B337F"/>
    <w:rsid w:val="000B3615"/>
    <w:rsid w:val="000B624B"/>
    <w:rsid w:val="000B6672"/>
    <w:rsid w:val="000C0FFD"/>
    <w:rsid w:val="000C1CCC"/>
    <w:rsid w:val="000C2A2B"/>
    <w:rsid w:val="000C2EBB"/>
    <w:rsid w:val="000C2F91"/>
    <w:rsid w:val="000C61C6"/>
    <w:rsid w:val="000C6D13"/>
    <w:rsid w:val="000C757C"/>
    <w:rsid w:val="000D17E8"/>
    <w:rsid w:val="000D1828"/>
    <w:rsid w:val="000D37AB"/>
    <w:rsid w:val="000D3A15"/>
    <w:rsid w:val="000D5609"/>
    <w:rsid w:val="000D7C4F"/>
    <w:rsid w:val="000E0F9E"/>
    <w:rsid w:val="000E316F"/>
    <w:rsid w:val="000E7073"/>
    <w:rsid w:val="000F2AD3"/>
    <w:rsid w:val="000F2D71"/>
    <w:rsid w:val="000F43F7"/>
    <w:rsid w:val="000F4CE5"/>
    <w:rsid w:val="000F5B3E"/>
    <w:rsid w:val="000F611B"/>
    <w:rsid w:val="000F658F"/>
    <w:rsid w:val="000F6A51"/>
    <w:rsid w:val="0010107A"/>
    <w:rsid w:val="001011B8"/>
    <w:rsid w:val="001034B3"/>
    <w:rsid w:val="001049B4"/>
    <w:rsid w:val="00107475"/>
    <w:rsid w:val="0011167F"/>
    <w:rsid w:val="001129ED"/>
    <w:rsid w:val="001147B6"/>
    <w:rsid w:val="00115811"/>
    <w:rsid w:val="00115B02"/>
    <w:rsid w:val="001203AA"/>
    <w:rsid w:val="00121DC6"/>
    <w:rsid w:val="00122716"/>
    <w:rsid w:val="00122AA0"/>
    <w:rsid w:val="001230B3"/>
    <w:rsid w:val="00124797"/>
    <w:rsid w:val="001268C6"/>
    <w:rsid w:val="00127657"/>
    <w:rsid w:val="00131EC0"/>
    <w:rsid w:val="001331AE"/>
    <w:rsid w:val="00135665"/>
    <w:rsid w:val="00142981"/>
    <w:rsid w:val="0014341A"/>
    <w:rsid w:val="00144066"/>
    <w:rsid w:val="00144EB7"/>
    <w:rsid w:val="00145E65"/>
    <w:rsid w:val="00147B36"/>
    <w:rsid w:val="00152728"/>
    <w:rsid w:val="00155EA3"/>
    <w:rsid w:val="00160498"/>
    <w:rsid w:val="00163CCD"/>
    <w:rsid w:val="00163FBB"/>
    <w:rsid w:val="00165366"/>
    <w:rsid w:val="00165907"/>
    <w:rsid w:val="001702BF"/>
    <w:rsid w:val="00170527"/>
    <w:rsid w:val="00170F59"/>
    <w:rsid w:val="00174F16"/>
    <w:rsid w:val="00175B4C"/>
    <w:rsid w:val="0017610A"/>
    <w:rsid w:val="00177E3F"/>
    <w:rsid w:val="001810A4"/>
    <w:rsid w:val="0018305B"/>
    <w:rsid w:val="00184C08"/>
    <w:rsid w:val="00191BF4"/>
    <w:rsid w:val="00194084"/>
    <w:rsid w:val="001949CA"/>
    <w:rsid w:val="001A1507"/>
    <w:rsid w:val="001A3194"/>
    <w:rsid w:val="001A398C"/>
    <w:rsid w:val="001A4554"/>
    <w:rsid w:val="001B1B52"/>
    <w:rsid w:val="001B48F7"/>
    <w:rsid w:val="001B4D89"/>
    <w:rsid w:val="001B56EA"/>
    <w:rsid w:val="001C3919"/>
    <w:rsid w:val="001C6384"/>
    <w:rsid w:val="001C655F"/>
    <w:rsid w:val="001C7B43"/>
    <w:rsid w:val="001D030F"/>
    <w:rsid w:val="001D2E39"/>
    <w:rsid w:val="001D4F5E"/>
    <w:rsid w:val="001D559A"/>
    <w:rsid w:val="001E0DBC"/>
    <w:rsid w:val="001E2B58"/>
    <w:rsid w:val="001E470A"/>
    <w:rsid w:val="001E511F"/>
    <w:rsid w:val="001E5A3D"/>
    <w:rsid w:val="001E77CD"/>
    <w:rsid w:val="001F1ABD"/>
    <w:rsid w:val="001F416A"/>
    <w:rsid w:val="001F4910"/>
    <w:rsid w:val="001F6BA9"/>
    <w:rsid w:val="0020231C"/>
    <w:rsid w:val="00206AB5"/>
    <w:rsid w:val="002109A8"/>
    <w:rsid w:val="0021159A"/>
    <w:rsid w:val="00211A28"/>
    <w:rsid w:val="00212E09"/>
    <w:rsid w:val="00213CE5"/>
    <w:rsid w:val="0021722D"/>
    <w:rsid w:val="002175B9"/>
    <w:rsid w:val="0021776C"/>
    <w:rsid w:val="00217999"/>
    <w:rsid w:val="002244A6"/>
    <w:rsid w:val="00224932"/>
    <w:rsid w:val="0022701C"/>
    <w:rsid w:val="00227A30"/>
    <w:rsid w:val="00234B32"/>
    <w:rsid w:val="00236BE1"/>
    <w:rsid w:val="002406DA"/>
    <w:rsid w:val="00250E01"/>
    <w:rsid w:val="002522AC"/>
    <w:rsid w:val="00252C09"/>
    <w:rsid w:val="00260BC0"/>
    <w:rsid w:val="002611D4"/>
    <w:rsid w:val="002629B0"/>
    <w:rsid w:val="00264D94"/>
    <w:rsid w:val="00266D2B"/>
    <w:rsid w:val="00270869"/>
    <w:rsid w:val="00275842"/>
    <w:rsid w:val="00276B0A"/>
    <w:rsid w:val="00280EA4"/>
    <w:rsid w:val="00281E36"/>
    <w:rsid w:val="002868E6"/>
    <w:rsid w:val="00287F52"/>
    <w:rsid w:val="00290EB8"/>
    <w:rsid w:val="00291820"/>
    <w:rsid w:val="002927D0"/>
    <w:rsid w:val="002945AC"/>
    <w:rsid w:val="0029711B"/>
    <w:rsid w:val="00297AF6"/>
    <w:rsid w:val="002A1D96"/>
    <w:rsid w:val="002A3738"/>
    <w:rsid w:val="002A4A64"/>
    <w:rsid w:val="002A4F9C"/>
    <w:rsid w:val="002A5DA8"/>
    <w:rsid w:val="002C62E3"/>
    <w:rsid w:val="002C6F39"/>
    <w:rsid w:val="002D4D0D"/>
    <w:rsid w:val="002D4E9E"/>
    <w:rsid w:val="002D574C"/>
    <w:rsid w:val="002D5755"/>
    <w:rsid w:val="002D5F37"/>
    <w:rsid w:val="002E090E"/>
    <w:rsid w:val="002E1468"/>
    <w:rsid w:val="002E32F0"/>
    <w:rsid w:val="002E3C49"/>
    <w:rsid w:val="002E5E7B"/>
    <w:rsid w:val="002E6B55"/>
    <w:rsid w:val="002E737C"/>
    <w:rsid w:val="002E7C46"/>
    <w:rsid w:val="002F01B1"/>
    <w:rsid w:val="002F5B22"/>
    <w:rsid w:val="003011AF"/>
    <w:rsid w:val="00304A05"/>
    <w:rsid w:val="003071B1"/>
    <w:rsid w:val="003117D3"/>
    <w:rsid w:val="00311A64"/>
    <w:rsid w:val="00311F2C"/>
    <w:rsid w:val="003137AE"/>
    <w:rsid w:val="00317B7D"/>
    <w:rsid w:val="00322CF6"/>
    <w:rsid w:val="00326203"/>
    <w:rsid w:val="00327BE2"/>
    <w:rsid w:val="00327D05"/>
    <w:rsid w:val="00330274"/>
    <w:rsid w:val="00330376"/>
    <w:rsid w:val="00330AE6"/>
    <w:rsid w:val="00332819"/>
    <w:rsid w:val="00333946"/>
    <w:rsid w:val="00337C99"/>
    <w:rsid w:val="00340DD1"/>
    <w:rsid w:val="00344009"/>
    <w:rsid w:val="00346121"/>
    <w:rsid w:val="0034668C"/>
    <w:rsid w:val="0035295F"/>
    <w:rsid w:val="00352A0C"/>
    <w:rsid w:val="00354B66"/>
    <w:rsid w:val="003555AB"/>
    <w:rsid w:val="003566A1"/>
    <w:rsid w:val="00356C97"/>
    <w:rsid w:val="003638BB"/>
    <w:rsid w:val="003659D3"/>
    <w:rsid w:val="003719F4"/>
    <w:rsid w:val="00374185"/>
    <w:rsid w:val="00374718"/>
    <w:rsid w:val="003757FD"/>
    <w:rsid w:val="003768ED"/>
    <w:rsid w:val="003779CB"/>
    <w:rsid w:val="00380BDA"/>
    <w:rsid w:val="0038169B"/>
    <w:rsid w:val="00385A69"/>
    <w:rsid w:val="0038654C"/>
    <w:rsid w:val="00386747"/>
    <w:rsid w:val="003878A1"/>
    <w:rsid w:val="00391DED"/>
    <w:rsid w:val="00392B8E"/>
    <w:rsid w:val="00394EC3"/>
    <w:rsid w:val="003A4C75"/>
    <w:rsid w:val="003A4E5C"/>
    <w:rsid w:val="003A60F3"/>
    <w:rsid w:val="003B4837"/>
    <w:rsid w:val="003B7511"/>
    <w:rsid w:val="003C0C78"/>
    <w:rsid w:val="003C56E6"/>
    <w:rsid w:val="003C66B6"/>
    <w:rsid w:val="003D56AF"/>
    <w:rsid w:val="003D7B48"/>
    <w:rsid w:val="003E1199"/>
    <w:rsid w:val="003E225A"/>
    <w:rsid w:val="003E22B3"/>
    <w:rsid w:val="003E6AA9"/>
    <w:rsid w:val="003E7F48"/>
    <w:rsid w:val="003F3762"/>
    <w:rsid w:val="003F3C36"/>
    <w:rsid w:val="003F56A7"/>
    <w:rsid w:val="003F576C"/>
    <w:rsid w:val="003F79E2"/>
    <w:rsid w:val="00400509"/>
    <w:rsid w:val="00404E0A"/>
    <w:rsid w:val="0040726D"/>
    <w:rsid w:val="00407B9E"/>
    <w:rsid w:val="00407BFC"/>
    <w:rsid w:val="00410C81"/>
    <w:rsid w:val="00412C96"/>
    <w:rsid w:val="004155A5"/>
    <w:rsid w:val="004218B1"/>
    <w:rsid w:val="00421CA4"/>
    <w:rsid w:val="004259EA"/>
    <w:rsid w:val="0043060E"/>
    <w:rsid w:val="004342A9"/>
    <w:rsid w:val="00434651"/>
    <w:rsid w:val="004347AF"/>
    <w:rsid w:val="00435ABB"/>
    <w:rsid w:val="0044012B"/>
    <w:rsid w:val="00440AB2"/>
    <w:rsid w:val="00441A6D"/>
    <w:rsid w:val="004446EC"/>
    <w:rsid w:val="00445A1C"/>
    <w:rsid w:val="0045079F"/>
    <w:rsid w:val="00452231"/>
    <w:rsid w:val="00456835"/>
    <w:rsid w:val="00456AE2"/>
    <w:rsid w:val="004616D9"/>
    <w:rsid w:val="00462E6C"/>
    <w:rsid w:val="004630E3"/>
    <w:rsid w:val="00463B02"/>
    <w:rsid w:val="004658DD"/>
    <w:rsid w:val="00465DDA"/>
    <w:rsid w:val="004671B5"/>
    <w:rsid w:val="00472DEB"/>
    <w:rsid w:val="004731D6"/>
    <w:rsid w:val="0047340B"/>
    <w:rsid w:val="00474D3A"/>
    <w:rsid w:val="00476760"/>
    <w:rsid w:val="004805D1"/>
    <w:rsid w:val="00481D47"/>
    <w:rsid w:val="00483011"/>
    <w:rsid w:val="00483E17"/>
    <w:rsid w:val="00484564"/>
    <w:rsid w:val="00485D0B"/>
    <w:rsid w:val="00486785"/>
    <w:rsid w:val="004870A2"/>
    <w:rsid w:val="004878D5"/>
    <w:rsid w:val="004A1EA2"/>
    <w:rsid w:val="004A31D1"/>
    <w:rsid w:val="004A4B70"/>
    <w:rsid w:val="004A7F2D"/>
    <w:rsid w:val="004B1BE2"/>
    <w:rsid w:val="004B51D7"/>
    <w:rsid w:val="004B5588"/>
    <w:rsid w:val="004B6251"/>
    <w:rsid w:val="004C3BBF"/>
    <w:rsid w:val="004C4499"/>
    <w:rsid w:val="004C5E9D"/>
    <w:rsid w:val="004C6320"/>
    <w:rsid w:val="004C6E53"/>
    <w:rsid w:val="004C7118"/>
    <w:rsid w:val="004D0992"/>
    <w:rsid w:val="004D3054"/>
    <w:rsid w:val="004D33A5"/>
    <w:rsid w:val="004D4C6F"/>
    <w:rsid w:val="004D6466"/>
    <w:rsid w:val="004D698E"/>
    <w:rsid w:val="004E1E5A"/>
    <w:rsid w:val="004E34FD"/>
    <w:rsid w:val="004E4DF6"/>
    <w:rsid w:val="004E5104"/>
    <w:rsid w:val="004E78E8"/>
    <w:rsid w:val="004F1648"/>
    <w:rsid w:val="004F31AB"/>
    <w:rsid w:val="004F3702"/>
    <w:rsid w:val="004F5970"/>
    <w:rsid w:val="004F5DA1"/>
    <w:rsid w:val="00500440"/>
    <w:rsid w:val="00502565"/>
    <w:rsid w:val="00505BE0"/>
    <w:rsid w:val="00505D74"/>
    <w:rsid w:val="00505F52"/>
    <w:rsid w:val="0050633B"/>
    <w:rsid w:val="00507009"/>
    <w:rsid w:val="00511D5C"/>
    <w:rsid w:val="00512080"/>
    <w:rsid w:val="005136FF"/>
    <w:rsid w:val="00514240"/>
    <w:rsid w:val="005149C4"/>
    <w:rsid w:val="00515A62"/>
    <w:rsid w:val="00515FCA"/>
    <w:rsid w:val="00521BDB"/>
    <w:rsid w:val="00522ACA"/>
    <w:rsid w:val="00522CDF"/>
    <w:rsid w:val="00525DE2"/>
    <w:rsid w:val="00527E54"/>
    <w:rsid w:val="005311B1"/>
    <w:rsid w:val="005322A7"/>
    <w:rsid w:val="00536514"/>
    <w:rsid w:val="005430E6"/>
    <w:rsid w:val="005431E7"/>
    <w:rsid w:val="00543389"/>
    <w:rsid w:val="00546141"/>
    <w:rsid w:val="00546985"/>
    <w:rsid w:val="0054791E"/>
    <w:rsid w:val="0055123D"/>
    <w:rsid w:val="00552E7D"/>
    <w:rsid w:val="00554A6F"/>
    <w:rsid w:val="00555516"/>
    <w:rsid w:val="00556771"/>
    <w:rsid w:val="00557EA0"/>
    <w:rsid w:val="00560F08"/>
    <w:rsid w:val="005610F2"/>
    <w:rsid w:val="00564A88"/>
    <w:rsid w:val="00565171"/>
    <w:rsid w:val="00565D14"/>
    <w:rsid w:val="00565E5F"/>
    <w:rsid w:val="00565EEC"/>
    <w:rsid w:val="00565FF3"/>
    <w:rsid w:val="0056658D"/>
    <w:rsid w:val="00570261"/>
    <w:rsid w:val="00570920"/>
    <w:rsid w:val="00573388"/>
    <w:rsid w:val="00576202"/>
    <w:rsid w:val="00580091"/>
    <w:rsid w:val="005811C4"/>
    <w:rsid w:val="00582038"/>
    <w:rsid w:val="00583577"/>
    <w:rsid w:val="00584B52"/>
    <w:rsid w:val="00585B05"/>
    <w:rsid w:val="00585DDD"/>
    <w:rsid w:val="00586645"/>
    <w:rsid w:val="00586771"/>
    <w:rsid w:val="005913EF"/>
    <w:rsid w:val="00594ABE"/>
    <w:rsid w:val="00594FAF"/>
    <w:rsid w:val="00595EB1"/>
    <w:rsid w:val="00596823"/>
    <w:rsid w:val="005A3F83"/>
    <w:rsid w:val="005A570E"/>
    <w:rsid w:val="005A588A"/>
    <w:rsid w:val="005A5C0C"/>
    <w:rsid w:val="005B550E"/>
    <w:rsid w:val="005C356C"/>
    <w:rsid w:val="005C612B"/>
    <w:rsid w:val="005C71B5"/>
    <w:rsid w:val="005C7434"/>
    <w:rsid w:val="005D01F5"/>
    <w:rsid w:val="005D42F4"/>
    <w:rsid w:val="005D5174"/>
    <w:rsid w:val="005E4BBE"/>
    <w:rsid w:val="005E5146"/>
    <w:rsid w:val="005E59FB"/>
    <w:rsid w:val="005E6C56"/>
    <w:rsid w:val="005E7339"/>
    <w:rsid w:val="005E7BBC"/>
    <w:rsid w:val="005F3073"/>
    <w:rsid w:val="005F5FB2"/>
    <w:rsid w:val="005F62F1"/>
    <w:rsid w:val="005F686A"/>
    <w:rsid w:val="00602113"/>
    <w:rsid w:val="006034DC"/>
    <w:rsid w:val="0060734B"/>
    <w:rsid w:val="00607A60"/>
    <w:rsid w:val="00607FB7"/>
    <w:rsid w:val="00610EF6"/>
    <w:rsid w:val="00611FF2"/>
    <w:rsid w:val="00612811"/>
    <w:rsid w:val="00614224"/>
    <w:rsid w:val="00616A49"/>
    <w:rsid w:val="00617C0B"/>
    <w:rsid w:val="006200BF"/>
    <w:rsid w:val="0062154A"/>
    <w:rsid w:val="00625943"/>
    <w:rsid w:val="006306F5"/>
    <w:rsid w:val="00632860"/>
    <w:rsid w:val="00633005"/>
    <w:rsid w:val="00635B9B"/>
    <w:rsid w:val="00636DA4"/>
    <w:rsid w:val="00637759"/>
    <w:rsid w:val="00640FFC"/>
    <w:rsid w:val="00641484"/>
    <w:rsid w:val="00645F75"/>
    <w:rsid w:val="00646533"/>
    <w:rsid w:val="00646CB3"/>
    <w:rsid w:val="00647EE1"/>
    <w:rsid w:val="00650465"/>
    <w:rsid w:val="0065219A"/>
    <w:rsid w:val="00652F8F"/>
    <w:rsid w:val="00654FE6"/>
    <w:rsid w:val="00656561"/>
    <w:rsid w:val="00662053"/>
    <w:rsid w:val="0066396E"/>
    <w:rsid w:val="00664164"/>
    <w:rsid w:val="00664979"/>
    <w:rsid w:val="0067037F"/>
    <w:rsid w:val="006706B3"/>
    <w:rsid w:val="00671812"/>
    <w:rsid w:val="00671C73"/>
    <w:rsid w:val="00673679"/>
    <w:rsid w:val="006752CE"/>
    <w:rsid w:val="00675E34"/>
    <w:rsid w:val="00676038"/>
    <w:rsid w:val="00676BE8"/>
    <w:rsid w:val="0067717E"/>
    <w:rsid w:val="00677593"/>
    <w:rsid w:val="00677A63"/>
    <w:rsid w:val="00681B4D"/>
    <w:rsid w:val="00684F09"/>
    <w:rsid w:val="00685E5A"/>
    <w:rsid w:val="00686E00"/>
    <w:rsid w:val="00687CBC"/>
    <w:rsid w:val="00687CEB"/>
    <w:rsid w:val="00692C71"/>
    <w:rsid w:val="006A153B"/>
    <w:rsid w:val="006A3559"/>
    <w:rsid w:val="006A38F6"/>
    <w:rsid w:val="006A42E8"/>
    <w:rsid w:val="006A4435"/>
    <w:rsid w:val="006A6652"/>
    <w:rsid w:val="006B5425"/>
    <w:rsid w:val="006B79DD"/>
    <w:rsid w:val="006C1284"/>
    <w:rsid w:val="006C19A7"/>
    <w:rsid w:val="006C3FBA"/>
    <w:rsid w:val="006C529E"/>
    <w:rsid w:val="006D0AC0"/>
    <w:rsid w:val="006D49C7"/>
    <w:rsid w:val="006D4CBC"/>
    <w:rsid w:val="006E0DF4"/>
    <w:rsid w:val="006E479D"/>
    <w:rsid w:val="006E490B"/>
    <w:rsid w:val="006E67B2"/>
    <w:rsid w:val="006F69CE"/>
    <w:rsid w:val="007015C7"/>
    <w:rsid w:val="0070499F"/>
    <w:rsid w:val="00704DB3"/>
    <w:rsid w:val="00707D7D"/>
    <w:rsid w:val="00710437"/>
    <w:rsid w:val="00714010"/>
    <w:rsid w:val="00714FC1"/>
    <w:rsid w:val="007161E3"/>
    <w:rsid w:val="00716840"/>
    <w:rsid w:val="00717939"/>
    <w:rsid w:val="00717BA4"/>
    <w:rsid w:val="007219FD"/>
    <w:rsid w:val="00722752"/>
    <w:rsid w:val="007261AB"/>
    <w:rsid w:val="00733BEA"/>
    <w:rsid w:val="00733C81"/>
    <w:rsid w:val="00734790"/>
    <w:rsid w:val="00736B9D"/>
    <w:rsid w:val="007378EB"/>
    <w:rsid w:val="00744A6B"/>
    <w:rsid w:val="0074674A"/>
    <w:rsid w:val="007500BD"/>
    <w:rsid w:val="00757B2A"/>
    <w:rsid w:val="007618C1"/>
    <w:rsid w:val="00762B74"/>
    <w:rsid w:val="00763734"/>
    <w:rsid w:val="00764E43"/>
    <w:rsid w:val="0076568F"/>
    <w:rsid w:val="00765D39"/>
    <w:rsid w:val="007671E8"/>
    <w:rsid w:val="007718B8"/>
    <w:rsid w:val="00775790"/>
    <w:rsid w:val="00776484"/>
    <w:rsid w:val="00781DAA"/>
    <w:rsid w:val="0078202D"/>
    <w:rsid w:val="007822B0"/>
    <w:rsid w:val="007835F4"/>
    <w:rsid w:val="00790F94"/>
    <w:rsid w:val="007913F4"/>
    <w:rsid w:val="007966FA"/>
    <w:rsid w:val="00796EF5"/>
    <w:rsid w:val="007A4DAA"/>
    <w:rsid w:val="007B00A1"/>
    <w:rsid w:val="007B2628"/>
    <w:rsid w:val="007B6134"/>
    <w:rsid w:val="007C14C2"/>
    <w:rsid w:val="007C1E27"/>
    <w:rsid w:val="007C31BB"/>
    <w:rsid w:val="007C5038"/>
    <w:rsid w:val="007C6C4B"/>
    <w:rsid w:val="007C7050"/>
    <w:rsid w:val="007D070D"/>
    <w:rsid w:val="007D30DD"/>
    <w:rsid w:val="007D4798"/>
    <w:rsid w:val="007D5404"/>
    <w:rsid w:val="007D5A03"/>
    <w:rsid w:val="007D6D43"/>
    <w:rsid w:val="007D7C84"/>
    <w:rsid w:val="007E537D"/>
    <w:rsid w:val="007F0920"/>
    <w:rsid w:val="007F360B"/>
    <w:rsid w:val="007F4667"/>
    <w:rsid w:val="007F6AEB"/>
    <w:rsid w:val="007F6D90"/>
    <w:rsid w:val="007F71F7"/>
    <w:rsid w:val="00802C29"/>
    <w:rsid w:val="00806502"/>
    <w:rsid w:val="00806DA1"/>
    <w:rsid w:val="00807D2E"/>
    <w:rsid w:val="008118E2"/>
    <w:rsid w:val="008124E8"/>
    <w:rsid w:val="00815582"/>
    <w:rsid w:val="0081607C"/>
    <w:rsid w:val="008169E7"/>
    <w:rsid w:val="008172C3"/>
    <w:rsid w:val="008204BD"/>
    <w:rsid w:val="00820554"/>
    <w:rsid w:val="00826833"/>
    <w:rsid w:val="00826B52"/>
    <w:rsid w:val="00835CC3"/>
    <w:rsid w:val="0083714A"/>
    <w:rsid w:val="00842269"/>
    <w:rsid w:val="008429D2"/>
    <w:rsid w:val="00842B18"/>
    <w:rsid w:val="00842D30"/>
    <w:rsid w:val="008448A9"/>
    <w:rsid w:val="008462C7"/>
    <w:rsid w:val="0085211E"/>
    <w:rsid w:val="00853B4F"/>
    <w:rsid w:val="00853EF2"/>
    <w:rsid w:val="008549F4"/>
    <w:rsid w:val="00854C8A"/>
    <w:rsid w:val="008557FE"/>
    <w:rsid w:val="008627E4"/>
    <w:rsid w:val="00862E65"/>
    <w:rsid w:val="0086334B"/>
    <w:rsid w:val="008639C6"/>
    <w:rsid w:val="008640CF"/>
    <w:rsid w:val="008641C8"/>
    <w:rsid w:val="008673CF"/>
    <w:rsid w:val="00867EA0"/>
    <w:rsid w:val="008726B2"/>
    <w:rsid w:val="00872708"/>
    <w:rsid w:val="00873021"/>
    <w:rsid w:val="00873E89"/>
    <w:rsid w:val="008748B7"/>
    <w:rsid w:val="00880075"/>
    <w:rsid w:val="00881A4C"/>
    <w:rsid w:val="00886FCD"/>
    <w:rsid w:val="00887885"/>
    <w:rsid w:val="00891DF4"/>
    <w:rsid w:val="00891FEB"/>
    <w:rsid w:val="00892B01"/>
    <w:rsid w:val="00893F27"/>
    <w:rsid w:val="008955CF"/>
    <w:rsid w:val="008956AF"/>
    <w:rsid w:val="008969FA"/>
    <w:rsid w:val="008A21F7"/>
    <w:rsid w:val="008A37BB"/>
    <w:rsid w:val="008B1830"/>
    <w:rsid w:val="008B1A66"/>
    <w:rsid w:val="008C0EB6"/>
    <w:rsid w:val="008C3A1F"/>
    <w:rsid w:val="008C43C7"/>
    <w:rsid w:val="008C59EA"/>
    <w:rsid w:val="008C6ADF"/>
    <w:rsid w:val="008D448B"/>
    <w:rsid w:val="008D49AB"/>
    <w:rsid w:val="008D5943"/>
    <w:rsid w:val="008E01A0"/>
    <w:rsid w:val="008E21F3"/>
    <w:rsid w:val="008E7F94"/>
    <w:rsid w:val="008F5A40"/>
    <w:rsid w:val="008F71BF"/>
    <w:rsid w:val="008F72A3"/>
    <w:rsid w:val="009002D9"/>
    <w:rsid w:val="00900323"/>
    <w:rsid w:val="00900445"/>
    <w:rsid w:val="009005C7"/>
    <w:rsid w:val="009028B7"/>
    <w:rsid w:val="00907E2A"/>
    <w:rsid w:val="00911CE3"/>
    <w:rsid w:val="009140A6"/>
    <w:rsid w:val="009243D1"/>
    <w:rsid w:val="0092466D"/>
    <w:rsid w:val="0093194A"/>
    <w:rsid w:val="00937DFB"/>
    <w:rsid w:val="009450EF"/>
    <w:rsid w:val="00946B48"/>
    <w:rsid w:val="009510ED"/>
    <w:rsid w:val="0095164C"/>
    <w:rsid w:val="00953C8C"/>
    <w:rsid w:val="00962402"/>
    <w:rsid w:val="00962824"/>
    <w:rsid w:val="00963FDF"/>
    <w:rsid w:val="009652F3"/>
    <w:rsid w:val="009708D6"/>
    <w:rsid w:val="00971328"/>
    <w:rsid w:val="00972406"/>
    <w:rsid w:val="00972B25"/>
    <w:rsid w:val="009768C4"/>
    <w:rsid w:val="00976FF7"/>
    <w:rsid w:val="00984356"/>
    <w:rsid w:val="00986311"/>
    <w:rsid w:val="00987C17"/>
    <w:rsid w:val="009903C1"/>
    <w:rsid w:val="009958B0"/>
    <w:rsid w:val="00996444"/>
    <w:rsid w:val="009965E6"/>
    <w:rsid w:val="009A4218"/>
    <w:rsid w:val="009A4523"/>
    <w:rsid w:val="009A6F15"/>
    <w:rsid w:val="009B0763"/>
    <w:rsid w:val="009B3A4A"/>
    <w:rsid w:val="009B5D6C"/>
    <w:rsid w:val="009B5F05"/>
    <w:rsid w:val="009B6AFA"/>
    <w:rsid w:val="009B6FF3"/>
    <w:rsid w:val="009B7ED5"/>
    <w:rsid w:val="009C11CD"/>
    <w:rsid w:val="009C1603"/>
    <w:rsid w:val="009C26BA"/>
    <w:rsid w:val="009C30D2"/>
    <w:rsid w:val="009C5EFF"/>
    <w:rsid w:val="009C774F"/>
    <w:rsid w:val="009D0370"/>
    <w:rsid w:val="009D1199"/>
    <w:rsid w:val="009D11B6"/>
    <w:rsid w:val="009D1513"/>
    <w:rsid w:val="009D1CDB"/>
    <w:rsid w:val="009D5F02"/>
    <w:rsid w:val="009E072E"/>
    <w:rsid w:val="009E3237"/>
    <w:rsid w:val="009E5AFE"/>
    <w:rsid w:val="009E659B"/>
    <w:rsid w:val="009F69D0"/>
    <w:rsid w:val="00A01D56"/>
    <w:rsid w:val="00A02278"/>
    <w:rsid w:val="00A030E0"/>
    <w:rsid w:val="00A050E2"/>
    <w:rsid w:val="00A05E98"/>
    <w:rsid w:val="00A06234"/>
    <w:rsid w:val="00A063B7"/>
    <w:rsid w:val="00A07601"/>
    <w:rsid w:val="00A07D73"/>
    <w:rsid w:val="00A112F3"/>
    <w:rsid w:val="00A137EC"/>
    <w:rsid w:val="00A16213"/>
    <w:rsid w:val="00A20751"/>
    <w:rsid w:val="00A22216"/>
    <w:rsid w:val="00A24945"/>
    <w:rsid w:val="00A25754"/>
    <w:rsid w:val="00A2640F"/>
    <w:rsid w:val="00A2652B"/>
    <w:rsid w:val="00A26B44"/>
    <w:rsid w:val="00A26E6A"/>
    <w:rsid w:val="00A30B28"/>
    <w:rsid w:val="00A30D44"/>
    <w:rsid w:val="00A32045"/>
    <w:rsid w:val="00A34535"/>
    <w:rsid w:val="00A35320"/>
    <w:rsid w:val="00A36B40"/>
    <w:rsid w:val="00A37CE7"/>
    <w:rsid w:val="00A4260F"/>
    <w:rsid w:val="00A443D0"/>
    <w:rsid w:val="00A46BD4"/>
    <w:rsid w:val="00A50124"/>
    <w:rsid w:val="00A51872"/>
    <w:rsid w:val="00A54179"/>
    <w:rsid w:val="00A54F5F"/>
    <w:rsid w:val="00A5670D"/>
    <w:rsid w:val="00A6032C"/>
    <w:rsid w:val="00A60A5B"/>
    <w:rsid w:val="00A63223"/>
    <w:rsid w:val="00A73506"/>
    <w:rsid w:val="00A73A38"/>
    <w:rsid w:val="00A74717"/>
    <w:rsid w:val="00A752B9"/>
    <w:rsid w:val="00A806FE"/>
    <w:rsid w:val="00A81A74"/>
    <w:rsid w:val="00A8389C"/>
    <w:rsid w:val="00A8719B"/>
    <w:rsid w:val="00A9008C"/>
    <w:rsid w:val="00A904AD"/>
    <w:rsid w:val="00A91EB6"/>
    <w:rsid w:val="00A932BE"/>
    <w:rsid w:val="00A94C95"/>
    <w:rsid w:val="00A95870"/>
    <w:rsid w:val="00A96CEF"/>
    <w:rsid w:val="00AA1BAC"/>
    <w:rsid w:val="00AA2635"/>
    <w:rsid w:val="00AA2BC4"/>
    <w:rsid w:val="00AA4100"/>
    <w:rsid w:val="00AA6642"/>
    <w:rsid w:val="00AA7020"/>
    <w:rsid w:val="00AA79E7"/>
    <w:rsid w:val="00AB070D"/>
    <w:rsid w:val="00AB0B21"/>
    <w:rsid w:val="00AB1287"/>
    <w:rsid w:val="00AB1448"/>
    <w:rsid w:val="00AB222B"/>
    <w:rsid w:val="00AC1DA4"/>
    <w:rsid w:val="00AC2A83"/>
    <w:rsid w:val="00AC604D"/>
    <w:rsid w:val="00AC6B1F"/>
    <w:rsid w:val="00AC6F0B"/>
    <w:rsid w:val="00AC7B92"/>
    <w:rsid w:val="00AD06C5"/>
    <w:rsid w:val="00AD0884"/>
    <w:rsid w:val="00AD12A4"/>
    <w:rsid w:val="00AD17FB"/>
    <w:rsid w:val="00AD346E"/>
    <w:rsid w:val="00AD42A6"/>
    <w:rsid w:val="00AD51B1"/>
    <w:rsid w:val="00AD58FE"/>
    <w:rsid w:val="00AD5B00"/>
    <w:rsid w:val="00AE025D"/>
    <w:rsid w:val="00AE1484"/>
    <w:rsid w:val="00AE2040"/>
    <w:rsid w:val="00AE222D"/>
    <w:rsid w:val="00AE2E6C"/>
    <w:rsid w:val="00AE4B77"/>
    <w:rsid w:val="00AE5683"/>
    <w:rsid w:val="00AF0EE7"/>
    <w:rsid w:val="00AF1085"/>
    <w:rsid w:val="00AF1BB8"/>
    <w:rsid w:val="00AF78C4"/>
    <w:rsid w:val="00AF79FB"/>
    <w:rsid w:val="00AF7ED3"/>
    <w:rsid w:val="00B014D6"/>
    <w:rsid w:val="00B01EF0"/>
    <w:rsid w:val="00B02893"/>
    <w:rsid w:val="00B03C5F"/>
    <w:rsid w:val="00B046F3"/>
    <w:rsid w:val="00B04B2B"/>
    <w:rsid w:val="00B05AE8"/>
    <w:rsid w:val="00B05F26"/>
    <w:rsid w:val="00B0711D"/>
    <w:rsid w:val="00B07972"/>
    <w:rsid w:val="00B16AD7"/>
    <w:rsid w:val="00B20DE4"/>
    <w:rsid w:val="00B317B0"/>
    <w:rsid w:val="00B31F0D"/>
    <w:rsid w:val="00B34167"/>
    <w:rsid w:val="00B346DA"/>
    <w:rsid w:val="00B35036"/>
    <w:rsid w:val="00B368F3"/>
    <w:rsid w:val="00B37D3A"/>
    <w:rsid w:val="00B405A1"/>
    <w:rsid w:val="00B408E9"/>
    <w:rsid w:val="00B41B3F"/>
    <w:rsid w:val="00B4251E"/>
    <w:rsid w:val="00B43DA2"/>
    <w:rsid w:val="00B47900"/>
    <w:rsid w:val="00B47E12"/>
    <w:rsid w:val="00B50E10"/>
    <w:rsid w:val="00B51802"/>
    <w:rsid w:val="00B522D2"/>
    <w:rsid w:val="00B54342"/>
    <w:rsid w:val="00B5459C"/>
    <w:rsid w:val="00B57EAF"/>
    <w:rsid w:val="00B61D54"/>
    <w:rsid w:val="00B63704"/>
    <w:rsid w:val="00B64477"/>
    <w:rsid w:val="00B65EA8"/>
    <w:rsid w:val="00B70914"/>
    <w:rsid w:val="00B75605"/>
    <w:rsid w:val="00B75AD6"/>
    <w:rsid w:val="00B77D3F"/>
    <w:rsid w:val="00B823E0"/>
    <w:rsid w:val="00B83E82"/>
    <w:rsid w:val="00B86597"/>
    <w:rsid w:val="00B86A2E"/>
    <w:rsid w:val="00B87F92"/>
    <w:rsid w:val="00B903FF"/>
    <w:rsid w:val="00B910BE"/>
    <w:rsid w:val="00B913B0"/>
    <w:rsid w:val="00B91998"/>
    <w:rsid w:val="00BA0AEC"/>
    <w:rsid w:val="00BA2880"/>
    <w:rsid w:val="00BA4A63"/>
    <w:rsid w:val="00BB09F9"/>
    <w:rsid w:val="00BB194D"/>
    <w:rsid w:val="00BB2C34"/>
    <w:rsid w:val="00BB30A7"/>
    <w:rsid w:val="00BB4646"/>
    <w:rsid w:val="00BB5B1A"/>
    <w:rsid w:val="00BB744A"/>
    <w:rsid w:val="00BB7673"/>
    <w:rsid w:val="00BC44DF"/>
    <w:rsid w:val="00BC73F7"/>
    <w:rsid w:val="00BC7551"/>
    <w:rsid w:val="00BC7C70"/>
    <w:rsid w:val="00BD0E59"/>
    <w:rsid w:val="00BD3463"/>
    <w:rsid w:val="00BD3EFC"/>
    <w:rsid w:val="00BD5F48"/>
    <w:rsid w:val="00BD5F55"/>
    <w:rsid w:val="00BD6434"/>
    <w:rsid w:val="00BE02E8"/>
    <w:rsid w:val="00BE0682"/>
    <w:rsid w:val="00BE1013"/>
    <w:rsid w:val="00BE1608"/>
    <w:rsid w:val="00BE409C"/>
    <w:rsid w:val="00BE6BCA"/>
    <w:rsid w:val="00BF639D"/>
    <w:rsid w:val="00BF7C2B"/>
    <w:rsid w:val="00C004E5"/>
    <w:rsid w:val="00C00606"/>
    <w:rsid w:val="00C01055"/>
    <w:rsid w:val="00C02040"/>
    <w:rsid w:val="00C0214E"/>
    <w:rsid w:val="00C0438E"/>
    <w:rsid w:val="00C13717"/>
    <w:rsid w:val="00C13B54"/>
    <w:rsid w:val="00C17966"/>
    <w:rsid w:val="00C2052E"/>
    <w:rsid w:val="00C2507A"/>
    <w:rsid w:val="00C31F2B"/>
    <w:rsid w:val="00C35A2F"/>
    <w:rsid w:val="00C36713"/>
    <w:rsid w:val="00C37032"/>
    <w:rsid w:val="00C40FB6"/>
    <w:rsid w:val="00C41093"/>
    <w:rsid w:val="00C4427D"/>
    <w:rsid w:val="00C452E5"/>
    <w:rsid w:val="00C50790"/>
    <w:rsid w:val="00C52D7E"/>
    <w:rsid w:val="00C55B6C"/>
    <w:rsid w:val="00C56CC5"/>
    <w:rsid w:val="00C61F69"/>
    <w:rsid w:val="00C64BA1"/>
    <w:rsid w:val="00C71908"/>
    <w:rsid w:val="00C7226D"/>
    <w:rsid w:val="00C72980"/>
    <w:rsid w:val="00C77FA1"/>
    <w:rsid w:val="00C82EE2"/>
    <w:rsid w:val="00C84E9E"/>
    <w:rsid w:val="00C901F9"/>
    <w:rsid w:val="00C9136E"/>
    <w:rsid w:val="00C9215A"/>
    <w:rsid w:val="00C94EC6"/>
    <w:rsid w:val="00CA66F7"/>
    <w:rsid w:val="00CA6F58"/>
    <w:rsid w:val="00CA7DDF"/>
    <w:rsid w:val="00CB0002"/>
    <w:rsid w:val="00CB1EF7"/>
    <w:rsid w:val="00CB3C2E"/>
    <w:rsid w:val="00CB4165"/>
    <w:rsid w:val="00CC42BB"/>
    <w:rsid w:val="00CC72C9"/>
    <w:rsid w:val="00CC7D89"/>
    <w:rsid w:val="00CD1134"/>
    <w:rsid w:val="00CD22F9"/>
    <w:rsid w:val="00CD7447"/>
    <w:rsid w:val="00CE490D"/>
    <w:rsid w:val="00CE728A"/>
    <w:rsid w:val="00CF0367"/>
    <w:rsid w:val="00CF38F3"/>
    <w:rsid w:val="00CF6B74"/>
    <w:rsid w:val="00CF7B45"/>
    <w:rsid w:val="00CF7F2C"/>
    <w:rsid w:val="00D01BC3"/>
    <w:rsid w:val="00D01E54"/>
    <w:rsid w:val="00D052E7"/>
    <w:rsid w:val="00D05C79"/>
    <w:rsid w:val="00D06347"/>
    <w:rsid w:val="00D07E5D"/>
    <w:rsid w:val="00D13174"/>
    <w:rsid w:val="00D149D8"/>
    <w:rsid w:val="00D15E90"/>
    <w:rsid w:val="00D165BD"/>
    <w:rsid w:val="00D16C95"/>
    <w:rsid w:val="00D22F59"/>
    <w:rsid w:val="00D2609C"/>
    <w:rsid w:val="00D3119C"/>
    <w:rsid w:val="00D317BF"/>
    <w:rsid w:val="00D3416F"/>
    <w:rsid w:val="00D375F9"/>
    <w:rsid w:val="00D37E93"/>
    <w:rsid w:val="00D417E5"/>
    <w:rsid w:val="00D41802"/>
    <w:rsid w:val="00D41BE6"/>
    <w:rsid w:val="00D432D8"/>
    <w:rsid w:val="00D44952"/>
    <w:rsid w:val="00D45FB2"/>
    <w:rsid w:val="00D508C6"/>
    <w:rsid w:val="00D51E9C"/>
    <w:rsid w:val="00D55E5F"/>
    <w:rsid w:val="00D565A4"/>
    <w:rsid w:val="00D565DD"/>
    <w:rsid w:val="00D63102"/>
    <w:rsid w:val="00D63891"/>
    <w:rsid w:val="00D65139"/>
    <w:rsid w:val="00D67FE0"/>
    <w:rsid w:val="00D705EF"/>
    <w:rsid w:val="00D71CC3"/>
    <w:rsid w:val="00D73F9B"/>
    <w:rsid w:val="00D750C7"/>
    <w:rsid w:val="00D75F92"/>
    <w:rsid w:val="00D76F52"/>
    <w:rsid w:val="00D81EFA"/>
    <w:rsid w:val="00D82C70"/>
    <w:rsid w:val="00D83058"/>
    <w:rsid w:val="00D90519"/>
    <w:rsid w:val="00D91251"/>
    <w:rsid w:val="00D92BBF"/>
    <w:rsid w:val="00D9668B"/>
    <w:rsid w:val="00D97773"/>
    <w:rsid w:val="00DA1B97"/>
    <w:rsid w:val="00DA22A4"/>
    <w:rsid w:val="00DA357B"/>
    <w:rsid w:val="00DA62B0"/>
    <w:rsid w:val="00DB41B8"/>
    <w:rsid w:val="00DB52B7"/>
    <w:rsid w:val="00DB728F"/>
    <w:rsid w:val="00DC000A"/>
    <w:rsid w:val="00DC0309"/>
    <w:rsid w:val="00DC097F"/>
    <w:rsid w:val="00DC379F"/>
    <w:rsid w:val="00DC3E1D"/>
    <w:rsid w:val="00DC4049"/>
    <w:rsid w:val="00DD250E"/>
    <w:rsid w:val="00DD36E5"/>
    <w:rsid w:val="00DD6483"/>
    <w:rsid w:val="00DE159D"/>
    <w:rsid w:val="00DE2AA9"/>
    <w:rsid w:val="00DE2BF4"/>
    <w:rsid w:val="00DE6ADE"/>
    <w:rsid w:val="00DF0312"/>
    <w:rsid w:val="00DF0D81"/>
    <w:rsid w:val="00DF2E68"/>
    <w:rsid w:val="00E0340E"/>
    <w:rsid w:val="00E0522C"/>
    <w:rsid w:val="00E066D7"/>
    <w:rsid w:val="00E11432"/>
    <w:rsid w:val="00E15DFC"/>
    <w:rsid w:val="00E15E46"/>
    <w:rsid w:val="00E246CA"/>
    <w:rsid w:val="00E259C4"/>
    <w:rsid w:val="00E266DC"/>
    <w:rsid w:val="00E272B5"/>
    <w:rsid w:val="00E321C7"/>
    <w:rsid w:val="00E35298"/>
    <w:rsid w:val="00E40E5D"/>
    <w:rsid w:val="00E4457D"/>
    <w:rsid w:val="00E51290"/>
    <w:rsid w:val="00E51908"/>
    <w:rsid w:val="00E51DAC"/>
    <w:rsid w:val="00E52B03"/>
    <w:rsid w:val="00E60901"/>
    <w:rsid w:val="00E60CD0"/>
    <w:rsid w:val="00E611A0"/>
    <w:rsid w:val="00E63A54"/>
    <w:rsid w:val="00E66291"/>
    <w:rsid w:val="00E700EE"/>
    <w:rsid w:val="00E724C8"/>
    <w:rsid w:val="00E74607"/>
    <w:rsid w:val="00E7697F"/>
    <w:rsid w:val="00E800E2"/>
    <w:rsid w:val="00E810FD"/>
    <w:rsid w:val="00E867E7"/>
    <w:rsid w:val="00E8682A"/>
    <w:rsid w:val="00E873F8"/>
    <w:rsid w:val="00E876D6"/>
    <w:rsid w:val="00E9092F"/>
    <w:rsid w:val="00E952F1"/>
    <w:rsid w:val="00E9557A"/>
    <w:rsid w:val="00E967D7"/>
    <w:rsid w:val="00E96F6B"/>
    <w:rsid w:val="00EA1B93"/>
    <w:rsid w:val="00EA1F7C"/>
    <w:rsid w:val="00EA2CFB"/>
    <w:rsid w:val="00EA5B93"/>
    <w:rsid w:val="00EA643A"/>
    <w:rsid w:val="00EB07A6"/>
    <w:rsid w:val="00EB09F5"/>
    <w:rsid w:val="00EB2B93"/>
    <w:rsid w:val="00EB3B68"/>
    <w:rsid w:val="00EC403F"/>
    <w:rsid w:val="00EC481D"/>
    <w:rsid w:val="00EC5205"/>
    <w:rsid w:val="00EC5B04"/>
    <w:rsid w:val="00EC797E"/>
    <w:rsid w:val="00ED113C"/>
    <w:rsid w:val="00ED1224"/>
    <w:rsid w:val="00ED4907"/>
    <w:rsid w:val="00ED4957"/>
    <w:rsid w:val="00ED4D9C"/>
    <w:rsid w:val="00EE0373"/>
    <w:rsid w:val="00EE1123"/>
    <w:rsid w:val="00EE247C"/>
    <w:rsid w:val="00EE4519"/>
    <w:rsid w:val="00EE5D72"/>
    <w:rsid w:val="00EF144F"/>
    <w:rsid w:val="00EF4232"/>
    <w:rsid w:val="00EF4819"/>
    <w:rsid w:val="00EF5CE7"/>
    <w:rsid w:val="00EF7F54"/>
    <w:rsid w:val="00F02888"/>
    <w:rsid w:val="00F034C9"/>
    <w:rsid w:val="00F045FD"/>
    <w:rsid w:val="00F06EF3"/>
    <w:rsid w:val="00F0759F"/>
    <w:rsid w:val="00F10423"/>
    <w:rsid w:val="00F1087E"/>
    <w:rsid w:val="00F10BFC"/>
    <w:rsid w:val="00F15F53"/>
    <w:rsid w:val="00F17A0B"/>
    <w:rsid w:val="00F20257"/>
    <w:rsid w:val="00F21829"/>
    <w:rsid w:val="00F229A2"/>
    <w:rsid w:val="00F233C2"/>
    <w:rsid w:val="00F243D1"/>
    <w:rsid w:val="00F259FC"/>
    <w:rsid w:val="00F26532"/>
    <w:rsid w:val="00F27BFB"/>
    <w:rsid w:val="00F32045"/>
    <w:rsid w:val="00F32805"/>
    <w:rsid w:val="00F3309D"/>
    <w:rsid w:val="00F33272"/>
    <w:rsid w:val="00F34EC6"/>
    <w:rsid w:val="00F35615"/>
    <w:rsid w:val="00F35FDA"/>
    <w:rsid w:val="00F3789F"/>
    <w:rsid w:val="00F40F35"/>
    <w:rsid w:val="00F4370F"/>
    <w:rsid w:val="00F43E9D"/>
    <w:rsid w:val="00F468B4"/>
    <w:rsid w:val="00F46D67"/>
    <w:rsid w:val="00F50DFD"/>
    <w:rsid w:val="00F52FDB"/>
    <w:rsid w:val="00F56DBC"/>
    <w:rsid w:val="00F56DF0"/>
    <w:rsid w:val="00F60369"/>
    <w:rsid w:val="00F6067F"/>
    <w:rsid w:val="00F607D2"/>
    <w:rsid w:val="00F60AE8"/>
    <w:rsid w:val="00F6165B"/>
    <w:rsid w:val="00F61F42"/>
    <w:rsid w:val="00F62C3B"/>
    <w:rsid w:val="00F63396"/>
    <w:rsid w:val="00F6654F"/>
    <w:rsid w:val="00F676FB"/>
    <w:rsid w:val="00F67D3A"/>
    <w:rsid w:val="00F705EC"/>
    <w:rsid w:val="00F71118"/>
    <w:rsid w:val="00F73D3B"/>
    <w:rsid w:val="00F76A97"/>
    <w:rsid w:val="00F77C0E"/>
    <w:rsid w:val="00F83BA6"/>
    <w:rsid w:val="00F85314"/>
    <w:rsid w:val="00F8541E"/>
    <w:rsid w:val="00F87558"/>
    <w:rsid w:val="00F8772B"/>
    <w:rsid w:val="00F932DB"/>
    <w:rsid w:val="00F9333A"/>
    <w:rsid w:val="00F954DA"/>
    <w:rsid w:val="00F96192"/>
    <w:rsid w:val="00F96D0C"/>
    <w:rsid w:val="00F96F10"/>
    <w:rsid w:val="00FA4467"/>
    <w:rsid w:val="00FA57D2"/>
    <w:rsid w:val="00FA6E43"/>
    <w:rsid w:val="00FA784B"/>
    <w:rsid w:val="00FB70BC"/>
    <w:rsid w:val="00FB7920"/>
    <w:rsid w:val="00FC1C78"/>
    <w:rsid w:val="00FC2578"/>
    <w:rsid w:val="00FC442E"/>
    <w:rsid w:val="00FC4FFD"/>
    <w:rsid w:val="00FC6B47"/>
    <w:rsid w:val="00FC6E16"/>
    <w:rsid w:val="00FD3278"/>
    <w:rsid w:val="00FD4BCB"/>
    <w:rsid w:val="00FD6159"/>
    <w:rsid w:val="00FD6E2F"/>
    <w:rsid w:val="00FE0E0A"/>
    <w:rsid w:val="00FE1399"/>
    <w:rsid w:val="00FE43C5"/>
    <w:rsid w:val="00FF3B58"/>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EE35AC"/>
  <w15:docId w15:val="{A6D15F7B-9B3E-4717-8631-3902ED475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29" w:qFormat="1"/>
    <w:lsdException w:name="heading 1" w:uiPriority="15" w:qFormat="1"/>
    <w:lsdException w:name="heading 2" w:semiHidden="1" w:uiPriority="15" w:unhideWhenUsed="1" w:qFormat="1"/>
    <w:lsdException w:name="heading 3" w:semiHidden="1" w:uiPriority="15" w:unhideWhenUsed="1" w:qFormat="1"/>
    <w:lsdException w:name="heading 4" w:semiHidden="1" w:uiPriority="15" w:unhideWhenUsed="1" w:qFormat="1"/>
    <w:lsdException w:name="heading 5" w:semiHidden="1" w:uiPriority="15" w:unhideWhenUsed="1" w:qFormat="1"/>
    <w:lsdException w:name="heading 6" w:semiHidden="1" w:uiPriority="15" w:unhideWhenUsed="1" w:qFormat="1"/>
    <w:lsdException w:name="heading 7" w:semiHidden="1" w:uiPriority="15" w:unhideWhenUsed="1" w:qFormat="1"/>
    <w:lsdException w:name="heading 8" w:semiHidden="1" w:uiPriority="15" w:unhideWhenUsed="1" w:qFormat="1"/>
    <w:lsdException w:name="heading 9" w:semiHidden="1" w:uiPriority="1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lsdException w:name="footer" w:semiHidden="1"/>
    <w:lsdException w:name="index heading" w:semiHidden="1" w:unhideWhenUsed="1"/>
    <w:lsdException w:name="caption" w:semiHidden="1" w:uiPriority="39"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40" w:unhideWhenUsed="1"/>
    <w:lsdException w:name="table of authorities" w:semiHidden="1" w:uiPriority="39" w:unhideWhenUsed="1"/>
    <w:lsdException w:name="macro" w:semiHidden="1" w:uiPriority="0" w:unhideWhenUsed="1"/>
    <w:lsdException w:name="toa heading" w:semiHidden="1" w:uiPriority="39" w:unhideWhenUsed="1"/>
    <w:lsdException w:name="List" w:semiHidden="1" w:unhideWhenUsed="1"/>
    <w:lsdException w:name="List Bullet" w:semiHidden="1" w:uiPriority="24" w:unhideWhenUsed="1" w:qFormat="1"/>
    <w:lsdException w:name="List Number" w:semiHidden="1" w:uiPriority="2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4" w:unhideWhenUsed="1" w:qFormat="1"/>
    <w:lsdException w:name="List Bullet 3" w:semiHidden="1" w:uiPriority="24" w:unhideWhenUsed="1" w:qFormat="1"/>
    <w:lsdException w:name="List Bullet 4" w:semiHidden="1" w:uiPriority="24" w:unhideWhenUsed="1"/>
    <w:lsdException w:name="List Bullet 5" w:semiHidden="1" w:uiPriority="24" w:unhideWhenUsed="1"/>
    <w:lsdException w:name="List Number 2" w:semiHidden="1" w:uiPriority="24" w:unhideWhenUsed="1"/>
    <w:lsdException w:name="List Number 3" w:semiHidden="1" w:uiPriority="24" w:unhideWhenUsed="1"/>
    <w:lsdException w:name="List Number 4" w:semiHidden="1" w:uiPriority="24" w:unhideWhenUsed="1"/>
    <w:lsdException w:name="List Number 5" w:semiHidden="1" w:uiPriority="24" w:unhideWhenUsed="1"/>
    <w:lsdException w:name="Title" w:uiPriority="39" w:qFormat="1"/>
    <w:lsdException w:name="Closing" w:semiHidden="1" w:unhideWhenUsed="1"/>
    <w:lsdException w:name="Signature" w:semiHidden="1" w:uiPriority="39"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9"/>
    <w:qFormat/>
    <w:rsid w:val="009A6F15"/>
    <w:pPr>
      <w:spacing w:after="0" w:line="240" w:lineRule="auto"/>
    </w:pPr>
    <w:rPr>
      <w:rFonts w:ascii="Times New Roman" w:hAnsi="Times New Roman" w:cs="Arial"/>
      <w:lang w:val="en-GB"/>
    </w:rPr>
  </w:style>
  <w:style w:type="paragraph" w:styleId="Heading1">
    <w:name w:val="heading 1"/>
    <w:basedOn w:val="Normal"/>
    <w:next w:val="Heading2"/>
    <w:link w:val="Heading1Char"/>
    <w:uiPriority w:val="15"/>
    <w:qFormat/>
    <w:rsid w:val="00BE22DF"/>
    <w:pPr>
      <w:keepNext/>
      <w:numPr>
        <w:numId w:val="2"/>
      </w:numPr>
      <w:spacing w:after="220"/>
      <w:jc w:val="both"/>
      <w:outlineLvl w:val="0"/>
    </w:pPr>
    <w:rPr>
      <w:rFonts w:cs="Times New Roman"/>
      <w:b/>
      <w:caps/>
      <w:szCs w:val="20"/>
    </w:rPr>
  </w:style>
  <w:style w:type="paragraph" w:styleId="Heading2">
    <w:name w:val="heading 2"/>
    <w:basedOn w:val="Normal"/>
    <w:link w:val="Heading2Char"/>
    <w:uiPriority w:val="15"/>
    <w:qFormat/>
    <w:rsid w:val="00BE22DF"/>
    <w:pPr>
      <w:numPr>
        <w:ilvl w:val="1"/>
        <w:numId w:val="2"/>
      </w:numPr>
      <w:spacing w:after="220"/>
      <w:jc w:val="both"/>
      <w:outlineLvl w:val="1"/>
    </w:pPr>
    <w:rPr>
      <w:rFonts w:cs="Times New Roman"/>
      <w:szCs w:val="20"/>
    </w:rPr>
  </w:style>
  <w:style w:type="paragraph" w:styleId="Heading3">
    <w:name w:val="heading 3"/>
    <w:basedOn w:val="Normal"/>
    <w:link w:val="Heading3Char"/>
    <w:uiPriority w:val="15"/>
    <w:qFormat/>
    <w:rsid w:val="00BE22DF"/>
    <w:pPr>
      <w:numPr>
        <w:ilvl w:val="2"/>
        <w:numId w:val="2"/>
      </w:numPr>
      <w:spacing w:after="220"/>
      <w:jc w:val="both"/>
      <w:outlineLvl w:val="2"/>
    </w:pPr>
    <w:rPr>
      <w:rFonts w:cs="Times New Roman"/>
      <w:szCs w:val="20"/>
    </w:rPr>
  </w:style>
  <w:style w:type="paragraph" w:styleId="Heading4">
    <w:name w:val="heading 4"/>
    <w:basedOn w:val="Normal"/>
    <w:link w:val="Heading4Char"/>
    <w:uiPriority w:val="15"/>
    <w:semiHidden/>
    <w:unhideWhenUsed/>
    <w:qFormat/>
    <w:rsid w:val="00BE22DF"/>
    <w:pPr>
      <w:numPr>
        <w:ilvl w:val="3"/>
        <w:numId w:val="2"/>
      </w:numPr>
      <w:spacing w:after="220"/>
      <w:jc w:val="both"/>
      <w:outlineLvl w:val="3"/>
    </w:pPr>
    <w:rPr>
      <w:rFonts w:cs="Times New Roman"/>
      <w:szCs w:val="20"/>
    </w:rPr>
  </w:style>
  <w:style w:type="paragraph" w:styleId="Heading5">
    <w:name w:val="heading 5"/>
    <w:basedOn w:val="Normal"/>
    <w:link w:val="Heading5Char"/>
    <w:uiPriority w:val="15"/>
    <w:semiHidden/>
    <w:unhideWhenUsed/>
    <w:rsid w:val="00BE22DF"/>
    <w:pPr>
      <w:numPr>
        <w:ilvl w:val="4"/>
        <w:numId w:val="2"/>
      </w:numPr>
      <w:spacing w:after="220"/>
      <w:jc w:val="both"/>
      <w:outlineLvl w:val="4"/>
    </w:pPr>
    <w:rPr>
      <w:rFonts w:cs="Times New Roman"/>
      <w:szCs w:val="20"/>
    </w:rPr>
  </w:style>
  <w:style w:type="paragraph" w:styleId="Heading6">
    <w:name w:val="heading 6"/>
    <w:basedOn w:val="Normal"/>
    <w:link w:val="Heading6Char"/>
    <w:uiPriority w:val="15"/>
    <w:semiHidden/>
    <w:unhideWhenUsed/>
    <w:rsid w:val="00BE22DF"/>
    <w:pPr>
      <w:numPr>
        <w:ilvl w:val="5"/>
        <w:numId w:val="2"/>
      </w:numPr>
      <w:spacing w:after="220"/>
      <w:jc w:val="both"/>
      <w:outlineLvl w:val="5"/>
    </w:pPr>
    <w:rPr>
      <w:rFonts w:cs="Times New Roman"/>
      <w:szCs w:val="20"/>
    </w:rPr>
  </w:style>
  <w:style w:type="paragraph" w:styleId="Heading7">
    <w:name w:val="heading 7"/>
    <w:basedOn w:val="Normal"/>
    <w:link w:val="Heading7Char"/>
    <w:uiPriority w:val="15"/>
    <w:semiHidden/>
    <w:unhideWhenUsed/>
    <w:rsid w:val="00BE22DF"/>
    <w:pPr>
      <w:numPr>
        <w:ilvl w:val="6"/>
        <w:numId w:val="2"/>
      </w:numPr>
      <w:spacing w:after="220"/>
      <w:jc w:val="both"/>
      <w:outlineLvl w:val="6"/>
    </w:pPr>
    <w:rPr>
      <w:rFonts w:cs="Times New Roman"/>
      <w:szCs w:val="20"/>
    </w:rPr>
  </w:style>
  <w:style w:type="paragraph" w:styleId="Heading8">
    <w:name w:val="heading 8"/>
    <w:basedOn w:val="Normal"/>
    <w:link w:val="Heading8Char"/>
    <w:uiPriority w:val="15"/>
    <w:semiHidden/>
    <w:qFormat/>
    <w:rsid w:val="00BE22DF"/>
    <w:pPr>
      <w:numPr>
        <w:ilvl w:val="7"/>
        <w:numId w:val="2"/>
      </w:numPr>
      <w:spacing w:after="220"/>
      <w:jc w:val="both"/>
      <w:outlineLvl w:val="7"/>
    </w:pPr>
    <w:rPr>
      <w:rFonts w:cs="Times New Roman"/>
      <w:color w:val="000000"/>
      <w:szCs w:val="20"/>
    </w:rPr>
  </w:style>
  <w:style w:type="paragraph" w:styleId="Heading9">
    <w:name w:val="heading 9"/>
    <w:basedOn w:val="Normal"/>
    <w:link w:val="Heading9Char"/>
    <w:uiPriority w:val="15"/>
    <w:semiHidden/>
    <w:qFormat/>
    <w:rsid w:val="00BE22DF"/>
    <w:pPr>
      <w:numPr>
        <w:ilvl w:val="8"/>
        <w:numId w:val="2"/>
      </w:numPr>
      <w:spacing w:after="220"/>
      <w:jc w:val="both"/>
      <w:outlineLvl w:val="8"/>
    </w:pPr>
    <w:rPr>
      <w:rFonts w:cs="Times New Roman"/>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39"/>
    <w:semiHidden/>
    <w:rsid w:val="00BE22DF"/>
    <w:pPr>
      <w:spacing w:before="240" w:after="60"/>
      <w:jc w:val="center"/>
    </w:pPr>
    <w:rPr>
      <w:rFonts w:cs="Times New Roman"/>
      <w:b/>
      <w:kern w:val="28"/>
      <w:szCs w:val="20"/>
    </w:rPr>
  </w:style>
  <w:style w:type="character" w:customStyle="1" w:styleId="TitleChar">
    <w:name w:val="Title Char"/>
    <w:link w:val="Title"/>
    <w:uiPriority w:val="39"/>
    <w:semiHidden/>
    <w:rsid w:val="00BE22DF"/>
    <w:rPr>
      <w:rFonts w:ascii="Times New Roman" w:hAnsi="Times New Roman" w:cs="Times New Roman"/>
      <w:b/>
      <w:kern w:val="28"/>
      <w:szCs w:val="20"/>
      <w:lang w:val="en-GB"/>
    </w:rPr>
  </w:style>
  <w:style w:type="character" w:customStyle="1" w:styleId="Heading1Char">
    <w:name w:val="Heading 1 Char"/>
    <w:link w:val="Heading1"/>
    <w:uiPriority w:val="15"/>
    <w:rsid w:val="00BE22DF"/>
    <w:rPr>
      <w:rFonts w:ascii="Times New Roman" w:hAnsi="Times New Roman" w:cs="Times New Roman"/>
      <w:b/>
      <w:caps/>
      <w:szCs w:val="20"/>
      <w:lang w:val="en-GB"/>
    </w:rPr>
  </w:style>
  <w:style w:type="character" w:customStyle="1" w:styleId="Heading2Char">
    <w:name w:val="Heading 2 Char"/>
    <w:link w:val="Heading2"/>
    <w:uiPriority w:val="15"/>
    <w:rsid w:val="00BE22DF"/>
    <w:rPr>
      <w:rFonts w:ascii="Times New Roman" w:hAnsi="Times New Roman" w:cs="Times New Roman"/>
      <w:szCs w:val="20"/>
      <w:lang w:val="en-GB"/>
    </w:rPr>
  </w:style>
  <w:style w:type="character" w:customStyle="1" w:styleId="Heading3Char">
    <w:name w:val="Heading 3 Char"/>
    <w:link w:val="Heading3"/>
    <w:uiPriority w:val="15"/>
    <w:rsid w:val="00BE22DF"/>
    <w:rPr>
      <w:rFonts w:ascii="Times New Roman" w:hAnsi="Times New Roman" w:cs="Times New Roman"/>
      <w:szCs w:val="20"/>
      <w:lang w:val="en-GB"/>
    </w:rPr>
  </w:style>
  <w:style w:type="character" w:customStyle="1" w:styleId="Heading4Char">
    <w:name w:val="Heading 4 Char"/>
    <w:link w:val="Heading4"/>
    <w:uiPriority w:val="15"/>
    <w:semiHidden/>
    <w:rsid w:val="00BE22DF"/>
    <w:rPr>
      <w:rFonts w:ascii="Times New Roman" w:hAnsi="Times New Roman" w:cs="Times New Roman"/>
      <w:szCs w:val="20"/>
      <w:lang w:val="en-GB"/>
    </w:rPr>
  </w:style>
  <w:style w:type="character" w:customStyle="1" w:styleId="Heading5Char">
    <w:name w:val="Heading 5 Char"/>
    <w:link w:val="Heading5"/>
    <w:uiPriority w:val="15"/>
    <w:semiHidden/>
    <w:rsid w:val="00BE22DF"/>
    <w:rPr>
      <w:rFonts w:ascii="Times New Roman" w:hAnsi="Times New Roman" w:cs="Times New Roman"/>
      <w:szCs w:val="20"/>
      <w:lang w:val="en-GB"/>
    </w:rPr>
  </w:style>
  <w:style w:type="character" w:customStyle="1" w:styleId="Heading6Char">
    <w:name w:val="Heading 6 Char"/>
    <w:link w:val="Heading6"/>
    <w:uiPriority w:val="15"/>
    <w:semiHidden/>
    <w:rsid w:val="00BE22DF"/>
    <w:rPr>
      <w:rFonts w:ascii="Times New Roman" w:hAnsi="Times New Roman" w:cs="Times New Roman"/>
      <w:szCs w:val="20"/>
      <w:lang w:val="en-GB"/>
    </w:rPr>
  </w:style>
  <w:style w:type="character" w:customStyle="1" w:styleId="Heading7Char">
    <w:name w:val="Heading 7 Char"/>
    <w:link w:val="Heading7"/>
    <w:uiPriority w:val="15"/>
    <w:semiHidden/>
    <w:rsid w:val="00BE22DF"/>
    <w:rPr>
      <w:rFonts w:ascii="Times New Roman" w:hAnsi="Times New Roman" w:cs="Times New Roman"/>
      <w:szCs w:val="20"/>
      <w:lang w:val="en-GB"/>
    </w:rPr>
  </w:style>
  <w:style w:type="character" w:customStyle="1" w:styleId="Heading8Char">
    <w:name w:val="Heading 8 Char"/>
    <w:link w:val="Heading8"/>
    <w:uiPriority w:val="15"/>
    <w:semiHidden/>
    <w:rsid w:val="00BE22DF"/>
    <w:rPr>
      <w:rFonts w:ascii="Times New Roman" w:hAnsi="Times New Roman" w:cs="Times New Roman"/>
      <w:color w:val="000000"/>
      <w:szCs w:val="20"/>
      <w:lang w:val="en-GB"/>
    </w:rPr>
  </w:style>
  <w:style w:type="character" w:customStyle="1" w:styleId="Heading9Char">
    <w:name w:val="Heading 9 Char"/>
    <w:link w:val="Heading9"/>
    <w:uiPriority w:val="15"/>
    <w:semiHidden/>
    <w:rsid w:val="00BE22DF"/>
    <w:rPr>
      <w:rFonts w:ascii="Times New Roman" w:hAnsi="Times New Roman" w:cs="Times New Roman"/>
      <w:color w:val="000000"/>
      <w:szCs w:val="20"/>
      <w:lang w:val="en-GB"/>
    </w:rPr>
  </w:style>
  <w:style w:type="paragraph" w:styleId="BalloonText">
    <w:name w:val="Balloon Text"/>
    <w:basedOn w:val="Normal"/>
    <w:link w:val="BalloonTextChar"/>
    <w:uiPriority w:val="99"/>
    <w:semiHidden/>
    <w:rsid w:val="00BE22DF"/>
    <w:rPr>
      <w:rFonts w:ascii="Tahoma" w:hAnsi="Tahoma" w:cs="Tahoma"/>
      <w:sz w:val="16"/>
      <w:szCs w:val="16"/>
    </w:rPr>
  </w:style>
  <w:style w:type="character" w:customStyle="1" w:styleId="BalloonTextChar">
    <w:name w:val="Balloon Text Char"/>
    <w:link w:val="BalloonText"/>
    <w:uiPriority w:val="99"/>
    <w:semiHidden/>
    <w:rsid w:val="00BE22DF"/>
    <w:rPr>
      <w:rFonts w:ascii="Tahoma" w:hAnsi="Tahoma" w:cs="Tahoma"/>
      <w:sz w:val="16"/>
      <w:szCs w:val="16"/>
      <w:lang w:val="en-GB"/>
    </w:rPr>
  </w:style>
  <w:style w:type="paragraph" w:styleId="Bibliography">
    <w:name w:val="Bibliography"/>
    <w:basedOn w:val="Normal"/>
    <w:next w:val="Normal"/>
    <w:uiPriority w:val="99"/>
    <w:semiHidden/>
    <w:rsid w:val="00BE22DF"/>
    <w:rPr>
      <w:rFonts w:cs="Times New Roman"/>
      <w:szCs w:val="20"/>
    </w:rPr>
  </w:style>
  <w:style w:type="paragraph" w:styleId="BlockText">
    <w:name w:val="Block Text"/>
    <w:basedOn w:val="Normal"/>
    <w:uiPriority w:val="39"/>
    <w:semiHidden/>
    <w:rsid w:val="00BE22DF"/>
    <w:pPr>
      <w:spacing w:after="120"/>
      <w:ind w:left="1440" w:right="1440"/>
    </w:pPr>
    <w:rPr>
      <w:rFonts w:cs="Times New Roman"/>
      <w:szCs w:val="20"/>
    </w:rPr>
  </w:style>
  <w:style w:type="paragraph" w:styleId="BodyText">
    <w:name w:val="Body Text"/>
    <w:basedOn w:val="Normal"/>
    <w:next w:val="BodyText1"/>
    <w:link w:val="BodyTextChar"/>
    <w:uiPriority w:val="99"/>
    <w:semiHidden/>
    <w:rsid w:val="00BE22DF"/>
    <w:pPr>
      <w:spacing w:after="120"/>
    </w:pPr>
    <w:rPr>
      <w:rFonts w:cs="Times New Roman"/>
      <w:szCs w:val="20"/>
    </w:rPr>
  </w:style>
  <w:style w:type="character" w:customStyle="1" w:styleId="BodyTextChar">
    <w:name w:val="Body Text Char"/>
    <w:link w:val="BodyText"/>
    <w:uiPriority w:val="99"/>
    <w:semiHidden/>
    <w:rsid w:val="00BE22DF"/>
    <w:rPr>
      <w:rFonts w:ascii="Times New Roman" w:hAnsi="Times New Roman" w:cs="Times New Roman"/>
      <w:szCs w:val="20"/>
      <w:lang w:val="en-GB"/>
    </w:rPr>
  </w:style>
  <w:style w:type="paragraph" w:styleId="BodyText2">
    <w:name w:val="Body Text 2"/>
    <w:basedOn w:val="Normal"/>
    <w:next w:val="Normal"/>
    <w:link w:val="BodyText2Char"/>
    <w:uiPriority w:val="99"/>
    <w:semiHidden/>
    <w:rsid w:val="00BE22DF"/>
    <w:pPr>
      <w:spacing w:after="220"/>
      <w:ind w:left="709"/>
      <w:jc w:val="both"/>
    </w:pPr>
    <w:rPr>
      <w:rFonts w:cs="Times New Roman"/>
      <w:szCs w:val="20"/>
    </w:rPr>
  </w:style>
  <w:style w:type="character" w:customStyle="1" w:styleId="BodyText2Char">
    <w:name w:val="Body Text 2 Char"/>
    <w:link w:val="BodyText2"/>
    <w:uiPriority w:val="99"/>
    <w:semiHidden/>
    <w:rsid w:val="00BE22DF"/>
    <w:rPr>
      <w:rFonts w:ascii="Times New Roman" w:hAnsi="Times New Roman" w:cs="Times New Roman"/>
      <w:szCs w:val="20"/>
      <w:lang w:val="en-GB"/>
    </w:rPr>
  </w:style>
  <w:style w:type="paragraph" w:styleId="BodyText3">
    <w:name w:val="Body Text 3"/>
    <w:basedOn w:val="Normal"/>
    <w:next w:val="Normal"/>
    <w:link w:val="BodyText3Char"/>
    <w:uiPriority w:val="99"/>
    <w:semiHidden/>
    <w:rsid w:val="00BE22DF"/>
    <w:pPr>
      <w:spacing w:after="220"/>
      <w:ind w:left="1418"/>
      <w:jc w:val="both"/>
    </w:pPr>
    <w:rPr>
      <w:rFonts w:cs="Times New Roman"/>
      <w:szCs w:val="16"/>
    </w:rPr>
  </w:style>
  <w:style w:type="character" w:customStyle="1" w:styleId="BodyText3Char">
    <w:name w:val="Body Text 3 Char"/>
    <w:link w:val="BodyText3"/>
    <w:uiPriority w:val="99"/>
    <w:semiHidden/>
    <w:rsid w:val="00BE22DF"/>
    <w:rPr>
      <w:rFonts w:ascii="Times New Roman" w:hAnsi="Times New Roman" w:cs="Times New Roman"/>
      <w:szCs w:val="16"/>
      <w:lang w:val="en-GB"/>
    </w:rPr>
  </w:style>
  <w:style w:type="paragraph" w:styleId="BodyTextFirstIndent">
    <w:name w:val="Body Text First Indent"/>
    <w:basedOn w:val="BodyText1"/>
    <w:link w:val="BodyTextFirstIndentChar"/>
    <w:uiPriority w:val="99"/>
    <w:semiHidden/>
    <w:rsid w:val="00BE22DF"/>
    <w:pPr>
      <w:ind w:firstLine="210"/>
    </w:pPr>
  </w:style>
  <w:style w:type="character" w:customStyle="1" w:styleId="BodyTextFirstIndentChar">
    <w:name w:val="Body Text First Indent Char"/>
    <w:link w:val="BodyTextFirstIndent"/>
    <w:uiPriority w:val="99"/>
    <w:semiHidden/>
    <w:rsid w:val="00BE22DF"/>
    <w:rPr>
      <w:rFonts w:ascii="Times New Roman" w:hAnsi="Times New Roman" w:cs="Times New Roman"/>
      <w:szCs w:val="24"/>
      <w:lang w:val="en-GB"/>
    </w:rPr>
  </w:style>
  <w:style w:type="paragraph" w:styleId="BodyTextIndent">
    <w:name w:val="Body Text Indent"/>
    <w:basedOn w:val="Normal"/>
    <w:link w:val="BodyTextIndentChar"/>
    <w:uiPriority w:val="99"/>
    <w:semiHidden/>
    <w:rsid w:val="00BE22DF"/>
    <w:pPr>
      <w:spacing w:after="120"/>
      <w:ind w:left="283"/>
    </w:pPr>
    <w:rPr>
      <w:rFonts w:cs="Times New Roman"/>
      <w:szCs w:val="20"/>
    </w:rPr>
  </w:style>
  <w:style w:type="character" w:customStyle="1" w:styleId="BodyTextIndentChar">
    <w:name w:val="Body Text Indent Char"/>
    <w:link w:val="BodyTextIndent"/>
    <w:uiPriority w:val="99"/>
    <w:semiHidden/>
    <w:rsid w:val="00BE22DF"/>
    <w:rPr>
      <w:rFonts w:ascii="Times New Roman" w:hAnsi="Times New Roman" w:cs="Times New Roman"/>
      <w:szCs w:val="20"/>
      <w:lang w:val="en-GB"/>
    </w:rPr>
  </w:style>
  <w:style w:type="paragraph" w:styleId="BodyTextFirstIndent2">
    <w:name w:val="Body Text First Indent 2"/>
    <w:basedOn w:val="BodyTextIndent"/>
    <w:link w:val="BodyTextFirstIndent2Char"/>
    <w:uiPriority w:val="99"/>
    <w:semiHidden/>
    <w:rsid w:val="00BE22DF"/>
    <w:pPr>
      <w:ind w:left="360" w:firstLine="210"/>
    </w:pPr>
  </w:style>
  <w:style w:type="character" w:customStyle="1" w:styleId="BodyTextFirstIndent2Char">
    <w:name w:val="Body Text First Indent 2 Char"/>
    <w:link w:val="BodyTextFirstIndent2"/>
    <w:uiPriority w:val="99"/>
    <w:semiHidden/>
    <w:rsid w:val="00BE22DF"/>
    <w:rPr>
      <w:rFonts w:ascii="Times New Roman" w:hAnsi="Times New Roman" w:cs="Times New Roman"/>
      <w:szCs w:val="20"/>
      <w:lang w:val="en-GB"/>
    </w:rPr>
  </w:style>
  <w:style w:type="paragraph" w:styleId="BodyTextIndent2">
    <w:name w:val="Body Text Indent 2"/>
    <w:basedOn w:val="Normal"/>
    <w:link w:val="BodyTextIndent2Char"/>
    <w:uiPriority w:val="99"/>
    <w:semiHidden/>
    <w:rsid w:val="00BE22DF"/>
    <w:pPr>
      <w:spacing w:after="120" w:line="480" w:lineRule="auto"/>
      <w:ind w:left="360"/>
    </w:pPr>
    <w:rPr>
      <w:rFonts w:cs="Times New Roman"/>
      <w:szCs w:val="20"/>
    </w:rPr>
  </w:style>
  <w:style w:type="character" w:customStyle="1" w:styleId="BodyTextIndent2Char">
    <w:name w:val="Body Text Indent 2 Char"/>
    <w:link w:val="BodyTextIndent2"/>
    <w:uiPriority w:val="99"/>
    <w:semiHidden/>
    <w:rsid w:val="00BE22DF"/>
    <w:rPr>
      <w:rFonts w:ascii="Times New Roman" w:hAnsi="Times New Roman" w:cs="Times New Roman"/>
      <w:szCs w:val="20"/>
      <w:lang w:val="en-GB"/>
    </w:rPr>
  </w:style>
  <w:style w:type="paragraph" w:styleId="BodyTextIndent3">
    <w:name w:val="Body Text Indent 3"/>
    <w:basedOn w:val="Normal"/>
    <w:link w:val="BodyTextIndent3Char"/>
    <w:uiPriority w:val="99"/>
    <w:semiHidden/>
    <w:rsid w:val="00BE22DF"/>
    <w:pPr>
      <w:spacing w:after="120"/>
      <w:ind w:left="360"/>
    </w:pPr>
    <w:rPr>
      <w:rFonts w:cs="Times New Roman"/>
      <w:sz w:val="16"/>
      <w:szCs w:val="16"/>
    </w:rPr>
  </w:style>
  <w:style w:type="character" w:customStyle="1" w:styleId="BodyTextIndent3Char">
    <w:name w:val="Body Text Indent 3 Char"/>
    <w:link w:val="BodyTextIndent3"/>
    <w:uiPriority w:val="99"/>
    <w:semiHidden/>
    <w:rsid w:val="00BE22DF"/>
    <w:rPr>
      <w:rFonts w:ascii="Times New Roman" w:hAnsi="Times New Roman" w:cs="Times New Roman"/>
      <w:sz w:val="16"/>
      <w:szCs w:val="16"/>
      <w:lang w:val="en-GB"/>
    </w:rPr>
  </w:style>
  <w:style w:type="character" w:styleId="BookTitle">
    <w:name w:val="Book Title"/>
    <w:uiPriority w:val="99"/>
    <w:semiHidden/>
    <w:rsid w:val="00BE22DF"/>
    <w:rPr>
      <w:rFonts w:ascii="Times New Roman" w:hAnsi="Times New Roman" w:cs="Times New Roman"/>
      <w:b/>
      <w:bCs/>
      <w:smallCaps/>
      <w:spacing w:val="5"/>
      <w:lang w:val="en-GB"/>
    </w:rPr>
  </w:style>
  <w:style w:type="paragraph" w:styleId="Caption">
    <w:name w:val="caption"/>
    <w:basedOn w:val="Normal"/>
    <w:next w:val="Normal"/>
    <w:uiPriority w:val="39"/>
    <w:semiHidden/>
    <w:unhideWhenUsed/>
    <w:rsid w:val="00BE22DF"/>
    <w:pPr>
      <w:spacing w:before="120" w:after="120"/>
    </w:pPr>
    <w:rPr>
      <w:rFonts w:cs="Times New Roman"/>
      <w:b/>
      <w:szCs w:val="20"/>
    </w:rPr>
  </w:style>
  <w:style w:type="paragraph" w:styleId="Closing">
    <w:name w:val="Closing"/>
    <w:basedOn w:val="Normal"/>
    <w:link w:val="ClosingChar"/>
    <w:uiPriority w:val="99"/>
    <w:semiHidden/>
    <w:rsid w:val="00BE22DF"/>
    <w:pPr>
      <w:keepNext/>
      <w:keepLines/>
    </w:pPr>
    <w:rPr>
      <w:rFonts w:eastAsia="MS Mincho" w:cs="Times New Roman"/>
      <w:szCs w:val="20"/>
    </w:rPr>
  </w:style>
  <w:style w:type="character" w:customStyle="1" w:styleId="ClosingChar">
    <w:name w:val="Closing Char"/>
    <w:link w:val="Closing"/>
    <w:uiPriority w:val="99"/>
    <w:semiHidden/>
    <w:rsid w:val="00BE22DF"/>
    <w:rPr>
      <w:rFonts w:ascii="Times New Roman" w:eastAsia="MS Mincho" w:hAnsi="Times New Roman" w:cs="Times New Roman"/>
      <w:szCs w:val="20"/>
      <w:lang w:val="en-GB"/>
    </w:rPr>
  </w:style>
  <w:style w:type="table" w:styleId="ColorfulGrid">
    <w:name w:val="Colorful Grid"/>
    <w:basedOn w:val="TableNormal"/>
    <w:uiPriority w:val="73"/>
    <w:rsid w:val="00BE22DF"/>
    <w:rPr>
      <w:rFonts w:ascii="Times New Roman" w:hAnsi="Times New Roman" w:cs="Arial"/>
      <w:color w:val="000000"/>
      <w:sz w:val="20"/>
      <w:szCs w:val="20"/>
      <w:lang w:eastAsia="zh-CN"/>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BE22DF"/>
    <w:rPr>
      <w:rFonts w:ascii="Times New Roman" w:hAnsi="Times New Roman" w:cs="Arial"/>
      <w:color w:val="000000"/>
      <w:sz w:val="20"/>
      <w:szCs w:val="20"/>
      <w:lang w:eastAsia="zh-CN"/>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BE22DF"/>
    <w:rPr>
      <w:rFonts w:ascii="Times New Roman" w:hAnsi="Times New Roman" w:cs="Arial"/>
      <w:color w:val="000000"/>
      <w:sz w:val="20"/>
      <w:szCs w:val="20"/>
      <w:lang w:eastAsia="zh-CN"/>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BE22DF"/>
    <w:rPr>
      <w:rFonts w:ascii="Times New Roman" w:hAnsi="Times New Roman" w:cs="Arial"/>
      <w:color w:val="000000"/>
      <w:sz w:val="20"/>
      <w:szCs w:val="20"/>
      <w:lang w:eastAsia="zh-CN"/>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BE22DF"/>
    <w:rPr>
      <w:rFonts w:ascii="Times New Roman" w:hAnsi="Times New Roman" w:cs="Arial"/>
      <w:color w:val="000000"/>
      <w:sz w:val="20"/>
      <w:szCs w:val="20"/>
      <w:lang w:eastAsia="zh-CN"/>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BE22DF"/>
    <w:rPr>
      <w:rFonts w:ascii="Times New Roman" w:hAnsi="Times New Roman" w:cs="Arial"/>
      <w:color w:val="000000"/>
      <w:sz w:val="20"/>
      <w:szCs w:val="20"/>
      <w:lang w:eastAsia="zh-CN"/>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BE22DF"/>
    <w:rPr>
      <w:rFonts w:ascii="Times New Roman" w:hAnsi="Times New Roman" w:cs="Arial"/>
      <w:color w:val="000000"/>
      <w:sz w:val="20"/>
      <w:szCs w:val="20"/>
      <w:lang w:eastAsia="zh-CN"/>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BE22DF"/>
    <w:rPr>
      <w:rFonts w:ascii="Times New Roman" w:hAnsi="Times New Roman" w:cs="Arial"/>
      <w:color w:val="000000"/>
      <w:sz w:val="20"/>
      <w:szCs w:val="20"/>
      <w:lang w:eastAsia="zh-CN"/>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BE22DF"/>
    <w:rPr>
      <w:rFonts w:ascii="Times New Roman" w:hAnsi="Times New Roman" w:cs="Arial"/>
      <w:color w:val="000000"/>
      <w:sz w:val="20"/>
      <w:szCs w:val="20"/>
      <w:lang w:eastAsia="zh-CN"/>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BE22DF"/>
    <w:rPr>
      <w:rFonts w:ascii="Times New Roman" w:hAnsi="Times New Roman" w:cs="Arial"/>
      <w:color w:val="000000"/>
      <w:sz w:val="20"/>
      <w:szCs w:val="20"/>
      <w:lang w:eastAsia="zh-CN"/>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BE22DF"/>
    <w:rPr>
      <w:rFonts w:ascii="Times New Roman" w:hAnsi="Times New Roman" w:cs="Arial"/>
      <w:color w:val="000000"/>
      <w:sz w:val="20"/>
      <w:szCs w:val="20"/>
      <w:lang w:eastAsia="zh-CN"/>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BE22DF"/>
    <w:rPr>
      <w:rFonts w:ascii="Times New Roman" w:hAnsi="Times New Roman" w:cs="Arial"/>
      <w:color w:val="000000"/>
      <w:sz w:val="20"/>
      <w:szCs w:val="20"/>
      <w:lang w:eastAsia="zh-CN"/>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BE22DF"/>
    <w:rPr>
      <w:rFonts w:ascii="Times New Roman" w:hAnsi="Times New Roman" w:cs="Arial"/>
      <w:color w:val="000000"/>
      <w:sz w:val="20"/>
      <w:szCs w:val="20"/>
      <w:lang w:eastAsia="zh-CN"/>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BE22DF"/>
    <w:rPr>
      <w:rFonts w:ascii="Times New Roman" w:hAnsi="Times New Roman" w:cs="Arial"/>
      <w:color w:val="000000"/>
      <w:sz w:val="20"/>
      <w:szCs w:val="20"/>
      <w:lang w:eastAsia="zh-CN"/>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BE22DF"/>
    <w:rPr>
      <w:rFonts w:ascii="Times New Roman" w:hAnsi="Times New Roman" w:cs="Arial"/>
      <w:color w:val="000000"/>
      <w:sz w:val="20"/>
      <w:szCs w:val="20"/>
      <w:lang w:eastAsia="zh-CN"/>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BE22DF"/>
    <w:rPr>
      <w:rFonts w:ascii="Times New Roman" w:hAnsi="Times New Roman" w:cs="Arial"/>
      <w:color w:val="000000"/>
      <w:sz w:val="20"/>
      <w:szCs w:val="20"/>
      <w:lang w:eastAsia="zh-CN"/>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BE22DF"/>
    <w:rPr>
      <w:rFonts w:ascii="Times New Roman" w:hAnsi="Times New Roman" w:cs="Arial"/>
      <w:color w:val="000000"/>
      <w:sz w:val="20"/>
      <w:szCs w:val="20"/>
      <w:lang w:eastAsia="zh-CN"/>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BE22DF"/>
    <w:rPr>
      <w:rFonts w:ascii="Times New Roman" w:hAnsi="Times New Roman" w:cs="Arial"/>
      <w:color w:val="000000"/>
      <w:sz w:val="20"/>
      <w:szCs w:val="20"/>
      <w:lang w:eastAsia="zh-CN"/>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BE22DF"/>
    <w:rPr>
      <w:rFonts w:ascii="Times New Roman" w:hAnsi="Times New Roman" w:cs="Arial"/>
      <w:color w:val="000000"/>
      <w:sz w:val="20"/>
      <w:szCs w:val="20"/>
      <w:lang w:eastAsia="zh-CN"/>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BE22DF"/>
    <w:rPr>
      <w:rFonts w:ascii="Times New Roman" w:hAnsi="Times New Roman" w:cs="Arial"/>
      <w:color w:val="000000"/>
      <w:sz w:val="20"/>
      <w:szCs w:val="20"/>
      <w:lang w:eastAsia="zh-CN"/>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BE22DF"/>
    <w:rPr>
      <w:rFonts w:ascii="Times New Roman" w:hAnsi="Times New Roman" w:cs="Arial"/>
      <w:color w:val="000000"/>
      <w:sz w:val="20"/>
      <w:szCs w:val="20"/>
      <w:lang w:eastAsia="zh-CN"/>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semiHidden/>
    <w:rsid w:val="00BE22DF"/>
    <w:rPr>
      <w:rFonts w:ascii="Times New Roman" w:hAnsi="Times New Roman" w:cs="Times New Roman"/>
      <w:sz w:val="16"/>
      <w:szCs w:val="16"/>
      <w:lang w:val="en-GB"/>
    </w:rPr>
  </w:style>
  <w:style w:type="paragraph" w:styleId="CommentText">
    <w:name w:val="annotation text"/>
    <w:basedOn w:val="Normal"/>
    <w:link w:val="CommentTextChar"/>
    <w:uiPriority w:val="99"/>
    <w:semiHidden/>
    <w:rsid w:val="00BE22DF"/>
    <w:rPr>
      <w:rFonts w:cs="Times New Roman"/>
      <w:sz w:val="20"/>
      <w:szCs w:val="20"/>
    </w:rPr>
  </w:style>
  <w:style w:type="character" w:customStyle="1" w:styleId="CommentTextChar">
    <w:name w:val="Comment Text Char"/>
    <w:link w:val="CommentText"/>
    <w:uiPriority w:val="99"/>
    <w:semiHidden/>
    <w:rsid w:val="00BE22DF"/>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rsid w:val="00BE22DF"/>
    <w:rPr>
      <w:b/>
      <w:bCs/>
    </w:rPr>
  </w:style>
  <w:style w:type="character" w:customStyle="1" w:styleId="CommentSubjectChar">
    <w:name w:val="Comment Subject Char"/>
    <w:link w:val="CommentSubject"/>
    <w:uiPriority w:val="99"/>
    <w:semiHidden/>
    <w:rsid w:val="00BE22DF"/>
    <w:rPr>
      <w:rFonts w:ascii="Times New Roman" w:hAnsi="Times New Roman" w:cs="Times New Roman"/>
      <w:b/>
      <w:bCs/>
      <w:sz w:val="20"/>
      <w:szCs w:val="20"/>
      <w:lang w:val="en-GB"/>
    </w:rPr>
  </w:style>
  <w:style w:type="table" w:styleId="DarkList">
    <w:name w:val="Dark List"/>
    <w:basedOn w:val="TableNormal"/>
    <w:uiPriority w:val="70"/>
    <w:rsid w:val="00BE22DF"/>
    <w:rPr>
      <w:rFonts w:ascii="Times New Roman" w:hAnsi="Times New Roman" w:cs="Arial"/>
      <w:color w:val="FFFFFF"/>
      <w:sz w:val="20"/>
      <w:szCs w:val="20"/>
      <w:lang w:eastAsia="zh-CN"/>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BE22DF"/>
    <w:rPr>
      <w:rFonts w:ascii="Times New Roman" w:hAnsi="Times New Roman" w:cs="Arial"/>
      <w:color w:val="FFFFFF"/>
      <w:sz w:val="20"/>
      <w:szCs w:val="20"/>
      <w:lang w:eastAsia="zh-CN"/>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BE22DF"/>
    <w:rPr>
      <w:rFonts w:ascii="Times New Roman" w:hAnsi="Times New Roman" w:cs="Arial"/>
      <w:color w:val="FFFFFF"/>
      <w:sz w:val="20"/>
      <w:szCs w:val="20"/>
      <w:lang w:eastAsia="zh-CN"/>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BE22DF"/>
    <w:rPr>
      <w:rFonts w:ascii="Times New Roman" w:hAnsi="Times New Roman" w:cs="Arial"/>
      <w:color w:val="FFFFFF"/>
      <w:sz w:val="20"/>
      <w:szCs w:val="20"/>
      <w:lang w:eastAsia="zh-CN"/>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BE22DF"/>
    <w:rPr>
      <w:rFonts w:ascii="Times New Roman" w:hAnsi="Times New Roman" w:cs="Arial"/>
      <w:color w:val="FFFFFF"/>
      <w:sz w:val="20"/>
      <w:szCs w:val="20"/>
      <w:lang w:eastAsia="zh-CN"/>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BE22DF"/>
    <w:rPr>
      <w:rFonts w:ascii="Times New Roman" w:hAnsi="Times New Roman" w:cs="Arial"/>
      <w:color w:val="FFFFFF"/>
      <w:sz w:val="20"/>
      <w:szCs w:val="20"/>
      <w:lang w:eastAsia="zh-CN"/>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BE22DF"/>
    <w:rPr>
      <w:rFonts w:ascii="Times New Roman" w:hAnsi="Times New Roman" w:cs="Arial"/>
      <w:color w:val="FFFFFF"/>
      <w:sz w:val="20"/>
      <w:szCs w:val="20"/>
      <w:lang w:eastAsia="zh-CN"/>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uiPriority w:val="99"/>
    <w:semiHidden/>
    <w:rsid w:val="00BE22DF"/>
    <w:rPr>
      <w:rFonts w:cs="Times New Roman"/>
      <w:szCs w:val="20"/>
    </w:rPr>
  </w:style>
  <w:style w:type="character" w:customStyle="1" w:styleId="DateChar">
    <w:name w:val="Date Char"/>
    <w:link w:val="Date"/>
    <w:uiPriority w:val="99"/>
    <w:semiHidden/>
    <w:rsid w:val="00BE22DF"/>
    <w:rPr>
      <w:rFonts w:ascii="Times New Roman" w:hAnsi="Times New Roman" w:cs="Times New Roman"/>
      <w:szCs w:val="20"/>
      <w:lang w:val="en-GB"/>
    </w:rPr>
  </w:style>
  <w:style w:type="paragraph" w:styleId="DocumentMap">
    <w:name w:val="Document Map"/>
    <w:basedOn w:val="Normal"/>
    <w:link w:val="DocumentMapChar"/>
    <w:uiPriority w:val="99"/>
    <w:semiHidden/>
    <w:rsid w:val="00BE22DF"/>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BE22DF"/>
    <w:rPr>
      <w:rFonts w:ascii="Tahoma" w:hAnsi="Tahoma" w:cs="Tahoma"/>
      <w:sz w:val="20"/>
      <w:szCs w:val="20"/>
      <w:shd w:val="clear" w:color="auto" w:fill="000080"/>
      <w:lang w:val="en-GB"/>
    </w:rPr>
  </w:style>
  <w:style w:type="paragraph" w:styleId="E-mailSignature">
    <w:name w:val="E-mail Signature"/>
    <w:basedOn w:val="Normal"/>
    <w:link w:val="E-mailSignatureChar"/>
    <w:uiPriority w:val="99"/>
    <w:semiHidden/>
    <w:rsid w:val="00BE22DF"/>
    <w:rPr>
      <w:rFonts w:cs="Times New Roman"/>
      <w:szCs w:val="20"/>
    </w:rPr>
  </w:style>
  <w:style w:type="character" w:customStyle="1" w:styleId="E-mailSignatureChar">
    <w:name w:val="E-mail Signature Char"/>
    <w:link w:val="E-mailSignature"/>
    <w:uiPriority w:val="99"/>
    <w:semiHidden/>
    <w:rsid w:val="00BE22DF"/>
    <w:rPr>
      <w:rFonts w:ascii="Times New Roman" w:hAnsi="Times New Roman" w:cs="Times New Roman"/>
      <w:szCs w:val="20"/>
      <w:lang w:val="en-GB"/>
    </w:rPr>
  </w:style>
  <w:style w:type="character" w:styleId="Emphasis">
    <w:name w:val="Emphasis"/>
    <w:uiPriority w:val="99"/>
    <w:semiHidden/>
    <w:rsid w:val="00BE22DF"/>
    <w:rPr>
      <w:rFonts w:ascii="Times New Roman" w:hAnsi="Times New Roman" w:cs="Times New Roman"/>
      <w:i/>
      <w:iCs/>
      <w:lang w:val="en-GB"/>
    </w:rPr>
  </w:style>
  <w:style w:type="character" w:styleId="EndnoteReference">
    <w:name w:val="endnote reference"/>
    <w:uiPriority w:val="99"/>
    <w:semiHidden/>
    <w:rsid w:val="00BE22DF"/>
    <w:rPr>
      <w:rFonts w:ascii="Times New Roman" w:hAnsi="Times New Roman" w:cs="Times New Roman"/>
      <w:vertAlign w:val="superscript"/>
      <w:lang w:val="en-GB"/>
    </w:rPr>
  </w:style>
  <w:style w:type="paragraph" w:styleId="EndnoteText">
    <w:name w:val="endnote text"/>
    <w:basedOn w:val="Normal"/>
    <w:link w:val="EndnoteTextChar"/>
    <w:uiPriority w:val="40"/>
    <w:semiHidden/>
    <w:rsid w:val="00BE22DF"/>
    <w:rPr>
      <w:rFonts w:cs="Times New Roman"/>
      <w:sz w:val="20"/>
      <w:szCs w:val="20"/>
    </w:rPr>
  </w:style>
  <w:style w:type="character" w:customStyle="1" w:styleId="EndnoteTextChar">
    <w:name w:val="Endnote Text Char"/>
    <w:link w:val="EndnoteText"/>
    <w:uiPriority w:val="40"/>
    <w:semiHidden/>
    <w:rsid w:val="00BE22DF"/>
    <w:rPr>
      <w:rFonts w:ascii="Times New Roman" w:hAnsi="Times New Roman" w:cs="Times New Roman"/>
      <w:sz w:val="20"/>
      <w:szCs w:val="20"/>
      <w:lang w:val="en-GB"/>
    </w:rPr>
  </w:style>
  <w:style w:type="paragraph" w:styleId="EnvelopeAddress">
    <w:name w:val="envelope address"/>
    <w:basedOn w:val="Normal"/>
    <w:uiPriority w:val="99"/>
    <w:semiHidden/>
    <w:rsid w:val="00BE22DF"/>
    <w:pPr>
      <w:framePr w:w="7920" w:h="1980" w:hRule="exact" w:hSpace="180" w:wrap="auto" w:hAnchor="page" w:xAlign="center" w:yAlign="bottom"/>
      <w:ind w:left="2880"/>
    </w:pPr>
    <w:rPr>
      <w:szCs w:val="24"/>
    </w:rPr>
  </w:style>
  <w:style w:type="paragraph" w:styleId="EnvelopeReturn">
    <w:name w:val="envelope return"/>
    <w:basedOn w:val="Normal"/>
    <w:uiPriority w:val="99"/>
    <w:semiHidden/>
    <w:rsid w:val="00BE22DF"/>
    <w:rPr>
      <w:sz w:val="20"/>
      <w:szCs w:val="20"/>
    </w:rPr>
  </w:style>
  <w:style w:type="character" w:styleId="FollowedHyperlink">
    <w:name w:val="FollowedHyperlink"/>
    <w:uiPriority w:val="99"/>
    <w:semiHidden/>
    <w:rsid w:val="00BE22DF"/>
    <w:rPr>
      <w:rFonts w:ascii="Times New Roman" w:hAnsi="Times New Roman" w:cs="Times New Roman"/>
      <w:color w:val="800080"/>
      <w:u w:val="single"/>
    </w:rPr>
  </w:style>
  <w:style w:type="paragraph" w:styleId="Footer">
    <w:name w:val="footer"/>
    <w:basedOn w:val="Normal"/>
    <w:link w:val="FooterChar"/>
    <w:uiPriority w:val="99"/>
    <w:semiHidden/>
    <w:rsid w:val="00BE22DF"/>
    <w:pPr>
      <w:tabs>
        <w:tab w:val="center" w:pos="4680"/>
        <w:tab w:val="right" w:pos="9072"/>
      </w:tabs>
    </w:pPr>
    <w:rPr>
      <w:rFonts w:cs="Times New Roman"/>
      <w:sz w:val="20"/>
      <w:szCs w:val="20"/>
    </w:rPr>
  </w:style>
  <w:style w:type="character" w:customStyle="1" w:styleId="FooterChar">
    <w:name w:val="Footer Char"/>
    <w:link w:val="Footer"/>
    <w:uiPriority w:val="99"/>
    <w:rsid w:val="00BE22DF"/>
    <w:rPr>
      <w:rFonts w:ascii="Times New Roman" w:hAnsi="Times New Roman" w:cs="Times New Roman"/>
      <w:sz w:val="20"/>
      <w:szCs w:val="20"/>
      <w:lang w:val="en-GB"/>
    </w:rPr>
  </w:style>
  <w:style w:type="character" w:styleId="FootnoteReference">
    <w:name w:val="footnote reference"/>
    <w:rsid w:val="00BE22DF"/>
    <w:rPr>
      <w:rFonts w:ascii="Times New Roman" w:hAnsi="Times New Roman" w:cs="Times New Roman"/>
      <w:vertAlign w:val="superscript"/>
      <w:lang w:val="en-GB"/>
    </w:rPr>
  </w:style>
  <w:style w:type="paragraph" w:styleId="FootnoteText">
    <w:name w:val="footnote text"/>
    <w:basedOn w:val="Normal"/>
    <w:link w:val="FootnoteTextChar"/>
    <w:rsid w:val="00BE22DF"/>
    <w:pPr>
      <w:spacing w:before="120"/>
      <w:ind w:left="709" w:hanging="709"/>
      <w:jc w:val="both"/>
    </w:pPr>
    <w:rPr>
      <w:rFonts w:cs="Times New Roman"/>
      <w:sz w:val="20"/>
      <w:szCs w:val="20"/>
    </w:rPr>
  </w:style>
  <w:style w:type="character" w:customStyle="1" w:styleId="FootnoteTextChar">
    <w:name w:val="Footnote Text Char"/>
    <w:link w:val="FootnoteText"/>
    <w:rsid w:val="00BE22DF"/>
    <w:rPr>
      <w:rFonts w:ascii="Times New Roman" w:hAnsi="Times New Roman" w:cs="Times New Roman"/>
      <w:sz w:val="20"/>
      <w:szCs w:val="20"/>
      <w:lang w:val="en-GB"/>
    </w:rPr>
  </w:style>
  <w:style w:type="paragraph" w:styleId="Header">
    <w:name w:val="header"/>
    <w:basedOn w:val="Normal"/>
    <w:link w:val="HeaderChar"/>
    <w:uiPriority w:val="99"/>
    <w:semiHidden/>
    <w:rsid w:val="00BE22DF"/>
    <w:pPr>
      <w:tabs>
        <w:tab w:val="right" w:pos="9072"/>
      </w:tabs>
    </w:pPr>
    <w:rPr>
      <w:rFonts w:cs="Times New Roman"/>
      <w:sz w:val="20"/>
      <w:szCs w:val="20"/>
    </w:rPr>
  </w:style>
  <w:style w:type="character" w:customStyle="1" w:styleId="HeaderChar">
    <w:name w:val="Header Char"/>
    <w:link w:val="Header"/>
    <w:uiPriority w:val="99"/>
    <w:semiHidden/>
    <w:rsid w:val="00BE22DF"/>
    <w:rPr>
      <w:rFonts w:ascii="Times New Roman" w:hAnsi="Times New Roman" w:cs="Times New Roman"/>
      <w:sz w:val="20"/>
      <w:szCs w:val="20"/>
      <w:lang w:val="en-GB"/>
    </w:rPr>
  </w:style>
  <w:style w:type="character" w:styleId="HTMLAcronym">
    <w:name w:val="HTML Acronym"/>
    <w:uiPriority w:val="99"/>
    <w:semiHidden/>
    <w:rsid w:val="00BE22DF"/>
    <w:rPr>
      <w:rFonts w:ascii="Times New Roman" w:hAnsi="Times New Roman" w:cs="Times New Roman"/>
    </w:rPr>
  </w:style>
  <w:style w:type="paragraph" w:styleId="HTMLAddress">
    <w:name w:val="HTML Address"/>
    <w:basedOn w:val="Normal"/>
    <w:link w:val="HTMLAddressChar"/>
    <w:uiPriority w:val="99"/>
    <w:semiHidden/>
    <w:rsid w:val="00BE22DF"/>
    <w:rPr>
      <w:i/>
      <w:iCs/>
    </w:rPr>
  </w:style>
  <w:style w:type="character" w:customStyle="1" w:styleId="HTMLAddressChar">
    <w:name w:val="HTML Address Char"/>
    <w:link w:val="HTMLAddress"/>
    <w:uiPriority w:val="99"/>
    <w:semiHidden/>
    <w:rsid w:val="00BE22DF"/>
    <w:rPr>
      <w:rFonts w:ascii="Times New Roman" w:hAnsi="Times New Roman" w:cs="Arial"/>
      <w:i/>
      <w:iCs/>
      <w:lang w:val="en-GB"/>
    </w:rPr>
  </w:style>
  <w:style w:type="character" w:styleId="HTMLCite">
    <w:name w:val="HTML Cite"/>
    <w:uiPriority w:val="99"/>
    <w:semiHidden/>
    <w:rsid w:val="00BE22DF"/>
    <w:rPr>
      <w:rFonts w:ascii="Times New Roman" w:hAnsi="Times New Roman" w:cs="Times New Roman"/>
      <w:i/>
      <w:iCs/>
    </w:rPr>
  </w:style>
  <w:style w:type="character" w:styleId="HTMLCode">
    <w:name w:val="HTML Code"/>
    <w:uiPriority w:val="99"/>
    <w:semiHidden/>
    <w:rsid w:val="00BE22DF"/>
    <w:rPr>
      <w:rFonts w:ascii="Consolas" w:hAnsi="Consolas" w:cs="Consolas"/>
      <w:sz w:val="20"/>
      <w:szCs w:val="20"/>
    </w:rPr>
  </w:style>
  <w:style w:type="character" w:styleId="HTMLDefinition">
    <w:name w:val="HTML Definition"/>
    <w:uiPriority w:val="99"/>
    <w:semiHidden/>
    <w:rsid w:val="00BE22DF"/>
    <w:rPr>
      <w:rFonts w:ascii="Times New Roman" w:hAnsi="Times New Roman" w:cs="Times New Roman"/>
      <w:i/>
      <w:iCs/>
    </w:rPr>
  </w:style>
  <w:style w:type="character" w:styleId="HTMLKeyboard">
    <w:name w:val="HTML Keyboard"/>
    <w:uiPriority w:val="99"/>
    <w:semiHidden/>
    <w:rsid w:val="00BE22DF"/>
    <w:rPr>
      <w:rFonts w:ascii="Consolas" w:hAnsi="Consolas" w:cs="Consolas"/>
      <w:sz w:val="20"/>
      <w:szCs w:val="20"/>
    </w:rPr>
  </w:style>
  <w:style w:type="paragraph" w:styleId="HTMLPreformatted">
    <w:name w:val="HTML Preformatted"/>
    <w:basedOn w:val="Normal"/>
    <w:link w:val="HTMLPreformattedChar"/>
    <w:uiPriority w:val="99"/>
    <w:semiHidden/>
    <w:rsid w:val="00BE22DF"/>
    <w:rPr>
      <w:rFonts w:ascii="Consolas" w:hAnsi="Consolas" w:cs="Consolas"/>
      <w:sz w:val="20"/>
      <w:szCs w:val="20"/>
    </w:rPr>
  </w:style>
  <w:style w:type="character" w:customStyle="1" w:styleId="HTMLPreformattedChar">
    <w:name w:val="HTML Preformatted Char"/>
    <w:link w:val="HTMLPreformatted"/>
    <w:uiPriority w:val="99"/>
    <w:semiHidden/>
    <w:rsid w:val="00BE22DF"/>
    <w:rPr>
      <w:rFonts w:ascii="Consolas" w:hAnsi="Consolas" w:cs="Consolas"/>
      <w:sz w:val="20"/>
      <w:szCs w:val="20"/>
      <w:lang w:val="en-GB"/>
    </w:rPr>
  </w:style>
  <w:style w:type="character" w:styleId="HTMLSample">
    <w:name w:val="HTML Sample"/>
    <w:uiPriority w:val="99"/>
    <w:semiHidden/>
    <w:rsid w:val="00BE22DF"/>
    <w:rPr>
      <w:rFonts w:ascii="Consolas" w:hAnsi="Consolas" w:cs="Consolas"/>
      <w:sz w:val="24"/>
      <w:szCs w:val="24"/>
    </w:rPr>
  </w:style>
  <w:style w:type="character" w:styleId="HTMLTypewriter">
    <w:name w:val="HTML Typewriter"/>
    <w:uiPriority w:val="99"/>
    <w:semiHidden/>
    <w:rsid w:val="00BE22DF"/>
    <w:rPr>
      <w:rFonts w:ascii="Consolas" w:hAnsi="Consolas" w:cs="Consolas"/>
      <w:sz w:val="20"/>
      <w:szCs w:val="20"/>
    </w:rPr>
  </w:style>
  <w:style w:type="character" w:styleId="HTMLVariable">
    <w:name w:val="HTML Variable"/>
    <w:uiPriority w:val="99"/>
    <w:semiHidden/>
    <w:rsid w:val="00BE22DF"/>
    <w:rPr>
      <w:rFonts w:ascii="Times New Roman" w:hAnsi="Times New Roman" w:cs="Times New Roman"/>
      <w:i/>
      <w:iCs/>
    </w:rPr>
  </w:style>
  <w:style w:type="character" w:styleId="Hyperlink">
    <w:name w:val="Hyperlink"/>
    <w:uiPriority w:val="99"/>
    <w:semiHidden/>
    <w:rsid w:val="00BE22DF"/>
    <w:rPr>
      <w:rFonts w:ascii="Times New Roman" w:hAnsi="Times New Roman" w:cs="Times New Roman"/>
      <w:color w:val="0000FF"/>
      <w:u w:val="single"/>
    </w:rPr>
  </w:style>
  <w:style w:type="paragraph" w:styleId="Index1">
    <w:name w:val="index 1"/>
    <w:basedOn w:val="Normal"/>
    <w:next w:val="Normal"/>
    <w:uiPriority w:val="99"/>
    <w:semiHidden/>
    <w:rsid w:val="00BE22DF"/>
    <w:pPr>
      <w:ind w:left="220" w:hanging="220"/>
    </w:pPr>
    <w:rPr>
      <w:rFonts w:cs="Times New Roman"/>
      <w:szCs w:val="20"/>
    </w:rPr>
  </w:style>
  <w:style w:type="paragraph" w:styleId="Index2">
    <w:name w:val="index 2"/>
    <w:basedOn w:val="Normal"/>
    <w:next w:val="Normal"/>
    <w:uiPriority w:val="99"/>
    <w:semiHidden/>
    <w:rsid w:val="00BE22DF"/>
    <w:pPr>
      <w:ind w:left="440" w:hanging="220"/>
    </w:pPr>
    <w:rPr>
      <w:rFonts w:cs="Times New Roman"/>
      <w:szCs w:val="20"/>
    </w:rPr>
  </w:style>
  <w:style w:type="paragraph" w:styleId="Index3">
    <w:name w:val="index 3"/>
    <w:basedOn w:val="Normal"/>
    <w:next w:val="Normal"/>
    <w:uiPriority w:val="99"/>
    <w:semiHidden/>
    <w:rsid w:val="00BE22DF"/>
    <w:pPr>
      <w:ind w:left="660" w:hanging="220"/>
    </w:pPr>
    <w:rPr>
      <w:rFonts w:cs="Times New Roman"/>
      <w:szCs w:val="20"/>
    </w:rPr>
  </w:style>
  <w:style w:type="paragraph" w:styleId="Index4">
    <w:name w:val="index 4"/>
    <w:basedOn w:val="Normal"/>
    <w:next w:val="Normal"/>
    <w:uiPriority w:val="99"/>
    <w:semiHidden/>
    <w:rsid w:val="00BE22DF"/>
    <w:pPr>
      <w:ind w:left="880" w:hanging="220"/>
    </w:pPr>
    <w:rPr>
      <w:rFonts w:cs="Times New Roman"/>
      <w:szCs w:val="20"/>
    </w:rPr>
  </w:style>
  <w:style w:type="paragraph" w:styleId="Index5">
    <w:name w:val="index 5"/>
    <w:basedOn w:val="Normal"/>
    <w:next w:val="Normal"/>
    <w:uiPriority w:val="99"/>
    <w:semiHidden/>
    <w:rsid w:val="00BE22DF"/>
    <w:pPr>
      <w:ind w:left="1100" w:hanging="220"/>
    </w:pPr>
    <w:rPr>
      <w:rFonts w:cs="Times New Roman"/>
      <w:szCs w:val="20"/>
    </w:rPr>
  </w:style>
  <w:style w:type="paragraph" w:styleId="Index6">
    <w:name w:val="index 6"/>
    <w:basedOn w:val="Normal"/>
    <w:next w:val="Normal"/>
    <w:uiPriority w:val="99"/>
    <w:semiHidden/>
    <w:rsid w:val="00BE22DF"/>
    <w:pPr>
      <w:ind w:left="1320" w:hanging="220"/>
    </w:pPr>
    <w:rPr>
      <w:rFonts w:cs="Times New Roman"/>
      <w:szCs w:val="20"/>
    </w:rPr>
  </w:style>
  <w:style w:type="paragraph" w:styleId="Index7">
    <w:name w:val="index 7"/>
    <w:basedOn w:val="Normal"/>
    <w:next w:val="Normal"/>
    <w:uiPriority w:val="99"/>
    <w:semiHidden/>
    <w:rsid w:val="00BE22DF"/>
    <w:pPr>
      <w:ind w:left="1540" w:hanging="220"/>
    </w:pPr>
    <w:rPr>
      <w:rFonts w:cs="Times New Roman"/>
      <w:szCs w:val="20"/>
    </w:rPr>
  </w:style>
  <w:style w:type="paragraph" w:styleId="Index8">
    <w:name w:val="index 8"/>
    <w:basedOn w:val="Normal"/>
    <w:next w:val="Normal"/>
    <w:uiPriority w:val="99"/>
    <w:semiHidden/>
    <w:rsid w:val="00BE22DF"/>
    <w:pPr>
      <w:ind w:left="1760" w:hanging="220"/>
    </w:pPr>
    <w:rPr>
      <w:rFonts w:cs="Times New Roman"/>
      <w:szCs w:val="20"/>
    </w:rPr>
  </w:style>
  <w:style w:type="paragraph" w:styleId="Index9">
    <w:name w:val="index 9"/>
    <w:basedOn w:val="Normal"/>
    <w:next w:val="Normal"/>
    <w:uiPriority w:val="99"/>
    <w:semiHidden/>
    <w:rsid w:val="00BE22DF"/>
    <w:pPr>
      <w:ind w:left="1980" w:hanging="220"/>
    </w:pPr>
    <w:rPr>
      <w:rFonts w:cs="Times New Roman"/>
      <w:szCs w:val="20"/>
    </w:rPr>
  </w:style>
  <w:style w:type="paragraph" w:styleId="IndexHeading">
    <w:name w:val="index heading"/>
    <w:basedOn w:val="Normal"/>
    <w:next w:val="Index1"/>
    <w:uiPriority w:val="99"/>
    <w:semiHidden/>
    <w:rsid w:val="00BE22DF"/>
    <w:rPr>
      <w:rFonts w:ascii="Arial" w:hAnsi="Arial"/>
      <w:b/>
      <w:bCs/>
      <w:szCs w:val="20"/>
    </w:rPr>
  </w:style>
  <w:style w:type="character" w:styleId="IntenseEmphasis">
    <w:name w:val="Intense Emphasis"/>
    <w:uiPriority w:val="99"/>
    <w:semiHidden/>
    <w:rsid w:val="00BE22DF"/>
    <w:rPr>
      <w:rFonts w:ascii="Times New Roman" w:hAnsi="Times New Roman" w:cs="Times New Roman"/>
      <w:b/>
      <w:bCs/>
      <w:i/>
      <w:iCs/>
      <w:color w:val="4F81BD"/>
      <w:lang w:val="en-GB"/>
    </w:rPr>
  </w:style>
  <w:style w:type="paragraph" w:styleId="IntenseQuote">
    <w:name w:val="Intense Quote"/>
    <w:basedOn w:val="Normal"/>
    <w:next w:val="Normal"/>
    <w:link w:val="IntenseQuoteChar"/>
    <w:uiPriority w:val="99"/>
    <w:semiHidden/>
    <w:rsid w:val="00BE22DF"/>
    <w:pPr>
      <w:pBdr>
        <w:bottom w:val="single" w:sz="4" w:space="4" w:color="4F81BD"/>
      </w:pBdr>
      <w:spacing w:before="200" w:after="280"/>
      <w:ind w:left="936" w:right="936"/>
    </w:pPr>
    <w:rPr>
      <w:rFonts w:cs="Times New Roman"/>
      <w:b/>
      <w:bCs/>
      <w:i/>
      <w:iCs/>
      <w:color w:val="4F81BD"/>
      <w:szCs w:val="20"/>
    </w:rPr>
  </w:style>
  <w:style w:type="character" w:customStyle="1" w:styleId="IntenseQuoteChar">
    <w:name w:val="Intense Quote Char"/>
    <w:link w:val="IntenseQuote"/>
    <w:uiPriority w:val="99"/>
    <w:semiHidden/>
    <w:rsid w:val="00BE22DF"/>
    <w:rPr>
      <w:rFonts w:ascii="Times New Roman" w:hAnsi="Times New Roman" w:cs="Times New Roman"/>
      <w:b/>
      <w:bCs/>
      <w:i/>
      <w:iCs/>
      <w:color w:val="4F81BD"/>
      <w:szCs w:val="20"/>
      <w:lang w:val="en-GB"/>
    </w:rPr>
  </w:style>
  <w:style w:type="character" w:styleId="IntenseReference">
    <w:name w:val="Intense Reference"/>
    <w:uiPriority w:val="99"/>
    <w:semiHidden/>
    <w:rsid w:val="00BE22DF"/>
    <w:rPr>
      <w:rFonts w:ascii="Times New Roman" w:hAnsi="Times New Roman" w:cs="Times New Roman"/>
      <w:b/>
      <w:bCs/>
      <w:smallCaps/>
      <w:color w:val="C0504D"/>
      <w:spacing w:val="5"/>
      <w:u w:val="single"/>
      <w:lang w:val="en-GB"/>
    </w:rPr>
  </w:style>
  <w:style w:type="table" w:styleId="LightGrid">
    <w:name w:val="Light Grid"/>
    <w:basedOn w:val="TableNormal"/>
    <w:uiPriority w:val="62"/>
    <w:rsid w:val="00BE22DF"/>
    <w:rPr>
      <w:rFonts w:ascii="Times New Roman" w:hAnsi="Times New Roman" w:cs="Arial"/>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SimSu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BE22DF"/>
    <w:rPr>
      <w:rFonts w:ascii="Times New Roman" w:hAnsi="Times New Roman" w:cs="Arial"/>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SimSun"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BE22DF"/>
    <w:rPr>
      <w:rFonts w:ascii="Times New Roman" w:hAnsi="Times New Roman" w:cs="Arial"/>
      <w:sz w:val="20"/>
      <w:szCs w:val="20"/>
      <w:lang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SimSun" w:hAnsi="Times New Rom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BE22DF"/>
    <w:rPr>
      <w:rFonts w:ascii="Times New Roman" w:hAnsi="Times New Roman" w:cs="Arial"/>
      <w:sz w:val="20"/>
      <w:szCs w:val="20"/>
      <w:lang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SimSun" w:hAnsi="Times New Rom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BE22DF"/>
    <w:rPr>
      <w:rFonts w:ascii="Times New Roman" w:hAnsi="Times New Roman" w:cs="Arial"/>
      <w:sz w:val="20"/>
      <w:szCs w:val="20"/>
      <w:lang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SimSun" w:hAnsi="Times New Rom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BE22DF"/>
    <w:rPr>
      <w:rFonts w:ascii="Times New Roman" w:hAnsi="Times New Roman" w:cs="Arial"/>
      <w:sz w:val="20"/>
      <w:szCs w:val="20"/>
      <w:lang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SimSu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BE22DF"/>
    <w:rPr>
      <w:rFonts w:ascii="Times New Roman" w:hAnsi="Times New Roman" w:cs="Arial"/>
      <w:sz w:val="20"/>
      <w:szCs w:val="20"/>
      <w:lang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SimSun" w:hAnsi="Times New Rom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BE22DF"/>
    <w:rPr>
      <w:rFonts w:ascii="Times New Roman" w:hAnsi="Times New Roman" w:cs="Arial"/>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BE22DF"/>
    <w:rPr>
      <w:rFonts w:ascii="Times New Roman" w:hAnsi="Times New Roman" w:cs="Arial"/>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BE22DF"/>
    <w:rPr>
      <w:rFonts w:ascii="Times New Roman" w:hAnsi="Times New Roman" w:cs="Arial"/>
      <w:sz w:val="20"/>
      <w:szCs w:val="20"/>
      <w:lang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BE22DF"/>
    <w:rPr>
      <w:rFonts w:ascii="Times New Roman" w:hAnsi="Times New Roman" w:cs="Arial"/>
      <w:sz w:val="20"/>
      <w:szCs w:val="20"/>
      <w:lang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BE22DF"/>
    <w:rPr>
      <w:rFonts w:ascii="Times New Roman" w:hAnsi="Times New Roman" w:cs="Arial"/>
      <w:sz w:val="20"/>
      <w:szCs w:val="20"/>
      <w:lang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BE22DF"/>
    <w:rPr>
      <w:rFonts w:ascii="Times New Roman" w:hAnsi="Times New Roman" w:cs="Arial"/>
      <w:sz w:val="20"/>
      <w:szCs w:val="20"/>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BE22DF"/>
    <w:rPr>
      <w:rFonts w:ascii="Times New Roman" w:hAnsi="Times New Roman" w:cs="Arial"/>
      <w:sz w:val="20"/>
      <w:szCs w:val="20"/>
      <w:lang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BE22DF"/>
    <w:rPr>
      <w:rFonts w:ascii="Times New Roman" w:hAnsi="Times New Roman" w:cs="Arial"/>
      <w:color w:val="000000"/>
      <w:sz w:val="20"/>
      <w:szCs w:val="20"/>
      <w:lang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BE22DF"/>
    <w:rPr>
      <w:rFonts w:ascii="Times New Roman" w:hAnsi="Times New Roman" w:cs="Arial"/>
      <w:color w:val="365F91"/>
      <w:sz w:val="20"/>
      <w:szCs w:val="20"/>
      <w:lang w:eastAsia="zh-C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BE22DF"/>
    <w:rPr>
      <w:rFonts w:ascii="Times New Roman" w:hAnsi="Times New Roman" w:cs="Arial"/>
      <w:color w:val="943634"/>
      <w:sz w:val="20"/>
      <w:szCs w:val="20"/>
      <w:lang w:eastAsia="zh-CN"/>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BE22DF"/>
    <w:rPr>
      <w:rFonts w:ascii="Times New Roman" w:hAnsi="Times New Roman" w:cs="Arial"/>
      <w:color w:val="76923C"/>
      <w:sz w:val="20"/>
      <w:szCs w:val="20"/>
      <w:lang w:eastAsia="zh-CN"/>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BE22DF"/>
    <w:rPr>
      <w:rFonts w:ascii="Times New Roman" w:hAnsi="Times New Roman" w:cs="Arial"/>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BE22DF"/>
    <w:rPr>
      <w:rFonts w:ascii="Times New Roman" w:hAnsi="Times New Roman" w:cs="Arial"/>
      <w:color w:val="31849B"/>
      <w:sz w:val="20"/>
      <w:szCs w:val="20"/>
      <w:lang w:eastAsia="zh-CN"/>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BE22DF"/>
    <w:rPr>
      <w:rFonts w:ascii="Times New Roman" w:hAnsi="Times New Roman" w:cs="Arial"/>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uiPriority w:val="99"/>
    <w:semiHidden/>
    <w:rsid w:val="00BE22DF"/>
    <w:rPr>
      <w:rFonts w:ascii="Times New Roman" w:hAnsi="Times New Roman" w:cs="Times New Roman"/>
      <w:lang w:val="en-GB"/>
    </w:rPr>
  </w:style>
  <w:style w:type="paragraph" w:styleId="List">
    <w:name w:val="List"/>
    <w:basedOn w:val="Normal"/>
    <w:uiPriority w:val="99"/>
    <w:semiHidden/>
    <w:rsid w:val="00BE22DF"/>
    <w:pPr>
      <w:ind w:left="360" w:hanging="360"/>
      <w:contextualSpacing/>
    </w:pPr>
    <w:rPr>
      <w:rFonts w:cs="Times New Roman"/>
      <w:szCs w:val="20"/>
    </w:rPr>
  </w:style>
  <w:style w:type="paragraph" w:styleId="List2">
    <w:name w:val="List 2"/>
    <w:basedOn w:val="Normal"/>
    <w:uiPriority w:val="99"/>
    <w:semiHidden/>
    <w:rsid w:val="00BE22DF"/>
    <w:pPr>
      <w:ind w:left="720" w:hanging="360"/>
      <w:contextualSpacing/>
    </w:pPr>
    <w:rPr>
      <w:rFonts w:cs="Times New Roman"/>
      <w:szCs w:val="20"/>
    </w:rPr>
  </w:style>
  <w:style w:type="paragraph" w:styleId="List3">
    <w:name w:val="List 3"/>
    <w:basedOn w:val="Normal"/>
    <w:uiPriority w:val="99"/>
    <w:semiHidden/>
    <w:rsid w:val="00BE22DF"/>
    <w:pPr>
      <w:ind w:left="1080" w:hanging="360"/>
      <w:contextualSpacing/>
    </w:pPr>
    <w:rPr>
      <w:rFonts w:cs="Times New Roman"/>
      <w:szCs w:val="20"/>
    </w:rPr>
  </w:style>
  <w:style w:type="paragraph" w:styleId="List4">
    <w:name w:val="List 4"/>
    <w:basedOn w:val="Normal"/>
    <w:uiPriority w:val="99"/>
    <w:semiHidden/>
    <w:rsid w:val="00BE22DF"/>
    <w:pPr>
      <w:ind w:left="1440" w:hanging="360"/>
      <w:contextualSpacing/>
    </w:pPr>
    <w:rPr>
      <w:rFonts w:cs="Times New Roman"/>
      <w:szCs w:val="20"/>
    </w:rPr>
  </w:style>
  <w:style w:type="paragraph" w:styleId="List5">
    <w:name w:val="List 5"/>
    <w:basedOn w:val="Normal"/>
    <w:uiPriority w:val="99"/>
    <w:semiHidden/>
    <w:rsid w:val="00BE22DF"/>
    <w:pPr>
      <w:ind w:left="1800" w:hanging="360"/>
      <w:contextualSpacing/>
    </w:pPr>
    <w:rPr>
      <w:rFonts w:cs="Times New Roman"/>
      <w:szCs w:val="20"/>
    </w:rPr>
  </w:style>
  <w:style w:type="paragraph" w:styleId="ListBullet">
    <w:name w:val="List Bullet"/>
    <w:basedOn w:val="BodyText1"/>
    <w:uiPriority w:val="24"/>
    <w:qFormat/>
    <w:rsid w:val="00BE22DF"/>
    <w:pPr>
      <w:numPr>
        <w:numId w:val="3"/>
      </w:numPr>
    </w:pPr>
    <w:rPr>
      <w:szCs w:val="20"/>
    </w:rPr>
  </w:style>
  <w:style w:type="paragraph" w:styleId="ListBullet2">
    <w:name w:val="List Bullet 2"/>
    <w:basedOn w:val="BodyText1"/>
    <w:uiPriority w:val="24"/>
    <w:qFormat/>
    <w:rsid w:val="00BE22DF"/>
    <w:pPr>
      <w:numPr>
        <w:ilvl w:val="1"/>
        <w:numId w:val="3"/>
      </w:numPr>
    </w:pPr>
    <w:rPr>
      <w:szCs w:val="20"/>
    </w:rPr>
  </w:style>
  <w:style w:type="paragraph" w:styleId="ListBullet3">
    <w:name w:val="List Bullet 3"/>
    <w:basedOn w:val="BodyText1"/>
    <w:uiPriority w:val="24"/>
    <w:qFormat/>
    <w:rsid w:val="00BE22DF"/>
    <w:pPr>
      <w:numPr>
        <w:ilvl w:val="2"/>
        <w:numId w:val="3"/>
      </w:numPr>
    </w:pPr>
    <w:rPr>
      <w:szCs w:val="20"/>
    </w:rPr>
  </w:style>
  <w:style w:type="paragraph" w:styleId="ListBullet4">
    <w:name w:val="List Bullet 4"/>
    <w:basedOn w:val="BodyText1"/>
    <w:uiPriority w:val="24"/>
    <w:unhideWhenUsed/>
    <w:rsid w:val="00BE22DF"/>
    <w:pPr>
      <w:numPr>
        <w:ilvl w:val="3"/>
        <w:numId w:val="3"/>
      </w:numPr>
    </w:pPr>
    <w:rPr>
      <w:szCs w:val="20"/>
    </w:rPr>
  </w:style>
  <w:style w:type="paragraph" w:styleId="ListBullet5">
    <w:name w:val="List Bullet 5"/>
    <w:basedOn w:val="BodyText1"/>
    <w:uiPriority w:val="24"/>
    <w:semiHidden/>
    <w:unhideWhenUsed/>
    <w:rsid w:val="00BE22DF"/>
    <w:pPr>
      <w:numPr>
        <w:ilvl w:val="4"/>
        <w:numId w:val="3"/>
      </w:numPr>
    </w:pPr>
    <w:rPr>
      <w:szCs w:val="20"/>
    </w:rPr>
  </w:style>
  <w:style w:type="paragraph" w:styleId="ListContinue">
    <w:name w:val="List Continue"/>
    <w:basedOn w:val="Normal"/>
    <w:uiPriority w:val="99"/>
    <w:semiHidden/>
    <w:rsid w:val="00BE22DF"/>
    <w:pPr>
      <w:spacing w:after="120"/>
      <w:ind w:left="360"/>
      <w:contextualSpacing/>
    </w:pPr>
    <w:rPr>
      <w:rFonts w:cs="Times New Roman"/>
      <w:szCs w:val="20"/>
    </w:rPr>
  </w:style>
  <w:style w:type="paragraph" w:styleId="ListContinue2">
    <w:name w:val="List Continue 2"/>
    <w:basedOn w:val="Normal"/>
    <w:uiPriority w:val="99"/>
    <w:semiHidden/>
    <w:rsid w:val="00BE22DF"/>
    <w:pPr>
      <w:spacing w:after="120"/>
      <w:ind w:left="720"/>
      <w:contextualSpacing/>
    </w:pPr>
    <w:rPr>
      <w:rFonts w:cs="Times New Roman"/>
      <w:szCs w:val="20"/>
    </w:rPr>
  </w:style>
  <w:style w:type="paragraph" w:styleId="ListContinue3">
    <w:name w:val="List Continue 3"/>
    <w:basedOn w:val="Normal"/>
    <w:uiPriority w:val="99"/>
    <w:semiHidden/>
    <w:rsid w:val="00BE22DF"/>
    <w:pPr>
      <w:spacing w:after="120"/>
      <w:ind w:left="1080"/>
      <w:contextualSpacing/>
    </w:pPr>
    <w:rPr>
      <w:rFonts w:cs="Times New Roman"/>
      <w:szCs w:val="20"/>
    </w:rPr>
  </w:style>
  <w:style w:type="paragraph" w:styleId="ListContinue4">
    <w:name w:val="List Continue 4"/>
    <w:basedOn w:val="Normal"/>
    <w:uiPriority w:val="99"/>
    <w:semiHidden/>
    <w:rsid w:val="00BE22DF"/>
    <w:pPr>
      <w:spacing w:after="120"/>
      <w:ind w:left="1440"/>
      <w:contextualSpacing/>
    </w:pPr>
    <w:rPr>
      <w:rFonts w:cs="Times New Roman"/>
      <w:szCs w:val="20"/>
    </w:rPr>
  </w:style>
  <w:style w:type="paragraph" w:styleId="ListContinue5">
    <w:name w:val="List Continue 5"/>
    <w:basedOn w:val="Normal"/>
    <w:uiPriority w:val="99"/>
    <w:semiHidden/>
    <w:rsid w:val="00BE22DF"/>
    <w:pPr>
      <w:spacing w:after="120"/>
      <w:ind w:left="1800"/>
      <w:contextualSpacing/>
    </w:pPr>
    <w:rPr>
      <w:rFonts w:cs="Times New Roman"/>
      <w:szCs w:val="20"/>
    </w:rPr>
  </w:style>
  <w:style w:type="paragraph" w:styleId="ListNumber">
    <w:name w:val="List Number"/>
    <w:basedOn w:val="BodyText1"/>
    <w:uiPriority w:val="24"/>
    <w:qFormat/>
    <w:rsid w:val="00BE22DF"/>
    <w:pPr>
      <w:numPr>
        <w:numId w:val="4"/>
      </w:numPr>
    </w:pPr>
    <w:rPr>
      <w:szCs w:val="20"/>
    </w:rPr>
  </w:style>
  <w:style w:type="paragraph" w:styleId="ListNumber2">
    <w:name w:val="List Number 2"/>
    <w:basedOn w:val="BodyText1"/>
    <w:uiPriority w:val="24"/>
    <w:semiHidden/>
    <w:unhideWhenUsed/>
    <w:rsid w:val="00BE22DF"/>
    <w:pPr>
      <w:numPr>
        <w:ilvl w:val="1"/>
        <w:numId w:val="4"/>
      </w:numPr>
    </w:pPr>
    <w:rPr>
      <w:szCs w:val="20"/>
    </w:rPr>
  </w:style>
  <w:style w:type="paragraph" w:styleId="ListNumber3">
    <w:name w:val="List Number 3"/>
    <w:basedOn w:val="BodyText1"/>
    <w:uiPriority w:val="24"/>
    <w:semiHidden/>
    <w:unhideWhenUsed/>
    <w:rsid w:val="00BE22DF"/>
    <w:pPr>
      <w:numPr>
        <w:ilvl w:val="2"/>
        <w:numId w:val="4"/>
      </w:numPr>
    </w:pPr>
    <w:rPr>
      <w:szCs w:val="20"/>
    </w:rPr>
  </w:style>
  <w:style w:type="paragraph" w:styleId="ListNumber4">
    <w:name w:val="List Number 4"/>
    <w:basedOn w:val="BodyText1"/>
    <w:uiPriority w:val="24"/>
    <w:semiHidden/>
    <w:unhideWhenUsed/>
    <w:rsid w:val="00BE22DF"/>
    <w:pPr>
      <w:numPr>
        <w:ilvl w:val="3"/>
        <w:numId w:val="4"/>
      </w:numPr>
    </w:pPr>
    <w:rPr>
      <w:szCs w:val="20"/>
    </w:rPr>
  </w:style>
  <w:style w:type="paragraph" w:styleId="ListNumber5">
    <w:name w:val="List Number 5"/>
    <w:basedOn w:val="BodyText1"/>
    <w:uiPriority w:val="24"/>
    <w:semiHidden/>
    <w:unhideWhenUsed/>
    <w:rsid w:val="00BE22DF"/>
    <w:pPr>
      <w:numPr>
        <w:ilvl w:val="4"/>
        <w:numId w:val="4"/>
      </w:numPr>
    </w:pPr>
    <w:rPr>
      <w:szCs w:val="20"/>
    </w:rPr>
  </w:style>
  <w:style w:type="paragraph" w:styleId="ListParagraph">
    <w:name w:val="List Paragraph"/>
    <w:basedOn w:val="Normal"/>
    <w:uiPriority w:val="34"/>
    <w:qFormat/>
    <w:rsid w:val="00BE22DF"/>
    <w:pPr>
      <w:ind w:left="720"/>
      <w:contextualSpacing/>
    </w:pPr>
    <w:rPr>
      <w:rFonts w:cs="Times New Roman"/>
      <w:szCs w:val="20"/>
    </w:rPr>
  </w:style>
  <w:style w:type="paragraph" w:styleId="MacroText">
    <w:name w:val="macro"/>
    <w:link w:val="MacroTextChar"/>
    <w:semiHidden/>
    <w:rsid w:val="00BE22DF"/>
    <w:pPr>
      <w:keepLines/>
      <w:pBdr>
        <w:left w:val="single" w:sz="4" w:space="4" w:color="auto"/>
        <w:right w:val="single" w:sz="2" w:space="4" w:color="auto"/>
      </w:pBd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cs="Courier New"/>
      <w:sz w:val="20"/>
      <w:szCs w:val="20"/>
      <w:lang w:val="en-GB" w:eastAsia="zh-CN"/>
    </w:rPr>
  </w:style>
  <w:style w:type="character" w:customStyle="1" w:styleId="MacroTextChar">
    <w:name w:val="Macro Text Char"/>
    <w:link w:val="MacroText"/>
    <w:semiHidden/>
    <w:rsid w:val="00BE22DF"/>
    <w:rPr>
      <w:rFonts w:ascii="Courier New" w:hAnsi="Courier New" w:cs="Courier New"/>
      <w:sz w:val="20"/>
      <w:szCs w:val="20"/>
      <w:lang w:val="en-GB" w:eastAsia="zh-CN"/>
    </w:rPr>
  </w:style>
  <w:style w:type="table" w:styleId="MediumGrid1">
    <w:name w:val="Medium Grid 1"/>
    <w:basedOn w:val="TableNormal"/>
    <w:uiPriority w:val="67"/>
    <w:rsid w:val="00BE22DF"/>
    <w:rPr>
      <w:rFonts w:ascii="Times New Roman" w:hAnsi="Times New Roman" w:cs="Arial"/>
      <w:sz w:val="20"/>
      <w:szCs w:val="20"/>
      <w:lang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BE22DF"/>
    <w:rPr>
      <w:rFonts w:ascii="Times New Roman" w:hAnsi="Times New Roman" w:cs="Arial"/>
      <w:sz w:val="20"/>
      <w:szCs w:val="20"/>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BE22DF"/>
    <w:rPr>
      <w:rFonts w:ascii="Times New Roman" w:hAnsi="Times New Roman" w:cs="Arial"/>
      <w:sz w:val="20"/>
      <w:szCs w:val="20"/>
      <w:lang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BE22DF"/>
    <w:rPr>
      <w:rFonts w:ascii="Times New Roman" w:hAnsi="Times New Roman" w:cs="Arial"/>
      <w:sz w:val="20"/>
      <w:szCs w:val="20"/>
      <w:lang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BE22DF"/>
    <w:rPr>
      <w:rFonts w:ascii="Times New Roman" w:hAnsi="Times New Roman" w:cs="Arial"/>
      <w:sz w:val="20"/>
      <w:szCs w:val="20"/>
      <w:lang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BE22DF"/>
    <w:rPr>
      <w:rFonts w:ascii="Times New Roman" w:hAnsi="Times New Roman" w:cs="Arial"/>
      <w:sz w:val="20"/>
      <w:szCs w:val="20"/>
      <w:lang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BE22DF"/>
    <w:rPr>
      <w:rFonts w:ascii="Times New Roman" w:hAnsi="Times New Roman" w:cs="Arial"/>
      <w:sz w:val="20"/>
      <w:szCs w:val="20"/>
      <w:lang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BE22DF"/>
    <w:rPr>
      <w:rFonts w:ascii="Times New Roman" w:eastAsia="SimSun" w:hAnsi="Times New Roman" w:cs="Arial"/>
      <w:color w:val="000000"/>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BE22DF"/>
    <w:rPr>
      <w:rFonts w:ascii="Times New Roman" w:eastAsia="SimSun" w:hAnsi="Times New Roman" w:cs="Arial"/>
      <w:color w:val="000000"/>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BE22DF"/>
    <w:rPr>
      <w:rFonts w:ascii="Times New Roman" w:eastAsia="SimSun" w:hAnsi="Times New Roman" w:cs="Arial"/>
      <w:color w:val="000000"/>
      <w:sz w:val="20"/>
      <w:szCs w:val="20"/>
      <w:lang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BE22DF"/>
    <w:rPr>
      <w:rFonts w:ascii="Times New Roman" w:eastAsia="SimSun" w:hAnsi="Times New Roman" w:cs="Arial"/>
      <w:color w:val="000000"/>
      <w:sz w:val="20"/>
      <w:szCs w:val="20"/>
      <w:lang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BE22DF"/>
    <w:rPr>
      <w:rFonts w:ascii="Times New Roman" w:eastAsia="SimSun" w:hAnsi="Times New Roman" w:cs="Arial"/>
      <w:color w:val="000000"/>
      <w:sz w:val="20"/>
      <w:szCs w:val="20"/>
      <w:lang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BE22DF"/>
    <w:rPr>
      <w:rFonts w:ascii="Times New Roman" w:eastAsia="SimSun" w:hAnsi="Times New Roman" w:cs="Arial"/>
      <w:color w:val="000000"/>
      <w:sz w:val="20"/>
      <w:szCs w:val="20"/>
      <w:lang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BE22DF"/>
    <w:rPr>
      <w:rFonts w:ascii="Times New Roman" w:eastAsia="SimSun" w:hAnsi="Times New Roman" w:cs="Arial"/>
      <w:color w:val="000000"/>
      <w:sz w:val="20"/>
      <w:szCs w:val="20"/>
      <w:lang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BE22DF"/>
    <w:rPr>
      <w:rFonts w:ascii="Times New Roman" w:hAnsi="Times New Roman" w:cs="Arial"/>
      <w:sz w:val="20"/>
      <w:szCs w:val="20"/>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BE22DF"/>
    <w:rPr>
      <w:rFonts w:ascii="Times New Roman" w:hAnsi="Times New Roman" w:cs="Arial"/>
      <w:sz w:val="20"/>
      <w:szCs w:val="20"/>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BE22DF"/>
    <w:rPr>
      <w:rFonts w:ascii="Times New Roman" w:hAnsi="Times New Roman" w:cs="Arial"/>
      <w:sz w:val="20"/>
      <w:szCs w:val="20"/>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BE22DF"/>
    <w:rPr>
      <w:rFonts w:ascii="Times New Roman" w:hAnsi="Times New Roman" w:cs="Arial"/>
      <w:sz w:val="20"/>
      <w:szCs w:val="20"/>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BE22DF"/>
    <w:rPr>
      <w:rFonts w:ascii="Times New Roman" w:hAnsi="Times New Roman" w:cs="Arial"/>
      <w:sz w:val="20"/>
      <w:szCs w:val="20"/>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BE22DF"/>
    <w:rPr>
      <w:rFonts w:ascii="Times New Roman" w:hAnsi="Times New Roman" w:cs="Arial"/>
      <w:sz w:val="20"/>
      <w:szCs w:val="20"/>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BE22DF"/>
    <w:rPr>
      <w:rFonts w:ascii="Times New Roman" w:hAnsi="Times New Roman" w:cs="Arial"/>
      <w:sz w:val="20"/>
      <w:szCs w:val="20"/>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BE22DF"/>
    <w:rPr>
      <w:rFonts w:ascii="Times New Roman" w:hAnsi="Times New Roman" w:cs="Arial"/>
      <w:color w:val="000000"/>
      <w:sz w:val="20"/>
      <w:szCs w:val="20"/>
      <w:lang w:eastAsia="zh-CN"/>
    </w:rPr>
    <w:tblPr>
      <w:tblStyleRowBandSize w:val="1"/>
      <w:tblStyleColBandSize w:val="1"/>
      <w:tblBorders>
        <w:top w:val="single" w:sz="8" w:space="0" w:color="000000"/>
        <w:bottom w:val="single" w:sz="8" w:space="0" w:color="000000"/>
      </w:tblBorders>
    </w:tblPr>
    <w:tblStylePr w:type="firstRow">
      <w:rPr>
        <w:rFonts w:ascii="Times New Roman" w:eastAsia="SimSun" w:hAnsi="Times New 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BE22DF"/>
    <w:rPr>
      <w:rFonts w:ascii="Times New Roman" w:hAnsi="Times New Roman" w:cs="Arial"/>
      <w:color w:val="000000"/>
      <w:sz w:val="20"/>
      <w:szCs w:val="20"/>
      <w:lang w:eastAsia="zh-CN"/>
    </w:rPr>
    <w:tblPr>
      <w:tblStyleRowBandSize w:val="1"/>
      <w:tblStyleColBandSize w:val="1"/>
      <w:tblBorders>
        <w:top w:val="single" w:sz="8" w:space="0" w:color="4F81BD"/>
        <w:bottom w:val="single" w:sz="8" w:space="0" w:color="4F81BD"/>
      </w:tblBorders>
    </w:tblPr>
    <w:tblStylePr w:type="firstRow">
      <w:rPr>
        <w:rFonts w:ascii="Times New Roman" w:eastAsia="SimSun" w:hAnsi="Times New Rom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BE22DF"/>
    <w:rPr>
      <w:rFonts w:ascii="Times New Roman" w:hAnsi="Times New Roman" w:cs="Arial"/>
      <w:color w:val="000000"/>
      <w:sz w:val="20"/>
      <w:szCs w:val="20"/>
      <w:lang w:eastAsia="zh-CN"/>
    </w:rPr>
    <w:tblPr>
      <w:tblStyleRowBandSize w:val="1"/>
      <w:tblStyleColBandSize w:val="1"/>
      <w:tblBorders>
        <w:top w:val="single" w:sz="8" w:space="0" w:color="C0504D"/>
        <w:bottom w:val="single" w:sz="8" w:space="0" w:color="C0504D"/>
      </w:tblBorders>
    </w:tblPr>
    <w:tblStylePr w:type="firstRow">
      <w:rPr>
        <w:rFonts w:ascii="Times New Roman" w:eastAsia="SimSun" w:hAnsi="Times New Rom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BE22DF"/>
    <w:rPr>
      <w:rFonts w:ascii="Times New Roman" w:hAnsi="Times New Roman" w:cs="Arial"/>
      <w:color w:val="000000"/>
      <w:sz w:val="20"/>
      <w:szCs w:val="20"/>
      <w:lang w:eastAsia="zh-CN"/>
    </w:rPr>
    <w:tblPr>
      <w:tblStyleRowBandSize w:val="1"/>
      <w:tblStyleColBandSize w:val="1"/>
      <w:tblBorders>
        <w:top w:val="single" w:sz="8" w:space="0" w:color="9BBB59"/>
        <w:bottom w:val="single" w:sz="8" w:space="0" w:color="9BBB59"/>
      </w:tblBorders>
    </w:tblPr>
    <w:tblStylePr w:type="firstRow">
      <w:rPr>
        <w:rFonts w:ascii="Times New Roman" w:eastAsia="SimSun" w:hAnsi="Times New Rom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BE22DF"/>
    <w:rPr>
      <w:rFonts w:ascii="Times New Roman" w:hAnsi="Times New Roman" w:cs="Arial"/>
      <w:color w:val="000000"/>
      <w:sz w:val="20"/>
      <w:szCs w:val="20"/>
      <w:lang w:eastAsia="zh-CN"/>
    </w:rPr>
    <w:tblPr>
      <w:tblStyleRowBandSize w:val="1"/>
      <w:tblStyleColBandSize w:val="1"/>
      <w:tblBorders>
        <w:top w:val="single" w:sz="8" w:space="0" w:color="8064A2"/>
        <w:bottom w:val="single" w:sz="8" w:space="0" w:color="8064A2"/>
      </w:tblBorders>
    </w:tblPr>
    <w:tblStylePr w:type="firstRow">
      <w:rPr>
        <w:rFonts w:ascii="Times New Roman" w:eastAsia="SimSun" w:hAnsi="Times New Rom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BE22DF"/>
    <w:rPr>
      <w:rFonts w:ascii="Times New Roman" w:hAnsi="Times New Roman" w:cs="Arial"/>
      <w:color w:val="000000"/>
      <w:sz w:val="20"/>
      <w:szCs w:val="20"/>
      <w:lang w:eastAsia="zh-CN"/>
    </w:rPr>
    <w:tblPr>
      <w:tblStyleRowBandSize w:val="1"/>
      <w:tblStyleColBandSize w:val="1"/>
      <w:tblBorders>
        <w:top w:val="single" w:sz="8" w:space="0" w:color="4BACC6"/>
        <w:bottom w:val="single" w:sz="8" w:space="0" w:color="4BACC6"/>
      </w:tblBorders>
    </w:tblPr>
    <w:tblStylePr w:type="firstRow">
      <w:rPr>
        <w:rFonts w:ascii="Times New Roman" w:eastAsia="SimSun" w:hAnsi="Times New Rom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BE22DF"/>
    <w:rPr>
      <w:rFonts w:ascii="Times New Roman" w:hAnsi="Times New Roman" w:cs="Arial"/>
      <w:color w:val="000000"/>
      <w:sz w:val="20"/>
      <w:szCs w:val="20"/>
      <w:lang w:eastAsia="zh-CN"/>
    </w:rPr>
    <w:tblPr>
      <w:tblStyleRowBandSize w:val="1"/>
      <w:tblStyleColBandSize w:val="1"/>
      <w:tblBorders>
        <w:top w:val="single" w:sz="8" w:space="0" w:color="F79646"/>
        <w:bottom w:val="single" w:sz="8" w:space="0" w:color="F79646"/>
      </w:tblBorders>
    </w:tblPr>
    <w:tblStylePr w:type="firstRow">
      <w:rPr>
        <w:rFonts w:ascii="Times New Roman" w:eastAsia="SimSun" w:hAnsi="Times New Rom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BE22DF"/>
    <w:rPr>
      <w:rFonts w:ascii="Times New Roman" w:eastAsia="SimSun" w:hAnsi="Times New Roman" w:cs="Arial"/>
      <w:color w:val="000000"/>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BE22DF"/>
    <w:rPr>
      <w:rFonts w:ascii="Times New Roman" w:eastAsia="SimSun" w:hAnsi="Times New Roman" w:cs="Arial"/>
      <w:color w:val="000000"/>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BE22DF"/>
    <w:rPr>
      <w:rFonts w:ascii="Times New Roman" w:eastAsia="SimSun" w:hAnsi="Times New Roman" w:cs="Arial"/>
      <w:color w:val="000000"/>
      <w:sz w:val="20"/>
      <w:szCs w:val="20"/>
      <w:lang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BE22DF"/>
    <w:rPr>
      <w:rFonts w:ascii="Times New Roman" w:eastAsia="SimSun" w:hAnsi="Times New Roman" w:cs="Arial"/>
      <w:color w:val="000000"/>
      <w:sz w:val="20"/>
      <w:szCs w:val="20"/>
      <w:lang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BE22DF"/>
    <w:rPr>
      <w:rFonts w:ascii="Times New Roman" w:eastAsia="SimSun" w:hAnsi="Times New Roman" w:cs="Arial"/>
      <w:color w:val="000000"/>
      <w:sz w:val="20"/>
      <w:szCs w:val="20"/>
      <w:lang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BE22DF"/>
    <w:rPr>
      <w:rFonts w:ascii="Times New Roman" w:eastAsia="SimSun" w:hAnsi="Times New Roman" w:cs="Arial"/>
      <w:color w:val="000000"/>
      <w:sz w:val="20"/>
      <w:szCs w:val="20"/>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BE22DF"/>
    <w:rPr>
      <w:rFonts w:ascii="Times New Roman" w:eastAsia="SimSun" w:hAnsi="Times New Roman" w:cs="Arial"/>
      <w:color w:val="000000"/>
      <w:sz w:val="20"/>
      <w:szCs w:val="20"/>
      <w:lang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BE22DF"/>
    <w:rPr>
      <w:rFonts w:ascii="Times New Roman" w:hAnsi="Times New Roman" w:cs="Arial"/>
      <w:sz w:val="20"/>
      <w:szCs w:val="20"/>
      <w:lang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E22DF"/>
    <w:rPr>
      <w:rFonts w:ascii="Times New Roman" w:hAnsi="Times New Roman" w:cs="Arial"/>
      <w:sz w:val="20"/>
      <w:szCs w:val="20"/>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E22DF"/>
    <w:rPr>
      <w:rFonts w:ascii="Times New Roman" w:hAnsi="Times New Roman" w:cs="Arial"/>
      <w:sz w:val="20"/>
      <w:szCs w:val="20"/>
      <w:lang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E22DF"/>
    <w:rPr>
      <w:rFonts w:ascii="Times New Roman" w:hAnsi="Times New Roman" w:cs="Arial"/>
      <w:sz w:val="20"/>
      <w:szCs w:val="20"/>
      <w:lang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E22DF"/>
    <w:rPr>
      <w:rFonts w:ascii="Times New Roman" w:hAnsi="Times New Roman" w:cs="Arial"/>
      <w:sz w:val="20"/>
      <w:szCs w:val="20"/>
      <w:lang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E22DF"/>
    <w:rPr>
      <w:rFonts w:ascii="Times New Roman" w:hAnsi="Times New Roman" w:cs="Arial"/>
      <w:sz w:val="20"/>
      <w:szCs w:val="20"/>
      <w:lang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E22DF"/>
    <w:rPr>
      <w:rFonts w:ascii="Times New Roman" w:hAnsi="Times New Roman" w:cs="Arial"/>
      <w:sz w:val="20"/>
      <w:szCs w:val="20"/>
      <w:lang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BE22DF"/>
    <w:rPr>
      <w:rFonts w:ascii="Times New Roman" w:hAnsi="Times New Roman" w:cs="Arial"/>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E22DF"/>
    <w:rPr>
      <w:rFonts w:ascii="Times New Roman" w:hAnsi="Times New Roman" w:cs="Arial"/>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E22DF"/>
    <w:rPr>
      <w:rFonts w:ascii="Times New Roman" w:hAnsi="Times New Roman" w:cs="Arial"/>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E22DF"/>
    <w:rPr>
      <w:rFonts w:ascii="Times New Roman" w:hAnsi="Times New Roman" w:cs="Arial"/>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E22DF"/>
    <w:rPr>
      <w:rFonts w:ascii="Times New Roman" w:hAnsi="Times New Roman" w:cs="Arial"/>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E22DF"/>
    <w:rPr>
      <w:rFonts w:ascii="Times New Roman" w:hAnsi="Times New Roman" w:cs="Arial"/>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E22DF"/>
    <w:rPr>
      <w:rFonts w:ascii="Times New Roman" w:hAnsi="Times New Roman" w:cs="Arial"/>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BE22D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MessageHeaderChar">
    <w:name w:val="Message Header Char"/>
    <w:link w:val="MessageHeader"/>
    <w:uiPriority w:val="99"/>
    <w:semiHidden/>
    <w:rsid w:val="00BE22DF"/>
    <w:rPr>
      <w:rFonts w:ascii="Arial" w:hAnsi="Arial" w:cs="Arial"/>
      <w:sz w:val="24"/>
      <w:szCs w:val="24"/>
      <w:shd w:val="pct20" w:color="auto" w:fill="auto"/>
      <w:lang w:val="en-GB"/>
    </w:rPr>
  </w:style>
  <w:style w:type="paragraph" w:styleId="NoSpacing">
    <w:name w:val="No Spacing"/>
    <w:uiPriority w:val="99"/>
    <w:semiHidden/>
    <w:rsid w:val="00BE22DF"/>
    <w:pPr>
      <w:spacing w:after="0" w:line="240" w:lineRule="auto"/>
    </w:pPr>
    <w:rPr>
      <w:rFonts w:ascii="Times New Roman" w:hAnsi="Times New Roman" w:cs="Arial"/>
      <w:lang w:val="en-GB"/>
    </w:rPr>
  </w:style>
  <w:style w:type="paragraph" w:styleId="NormalWeb">
    <w:name w:val="Normal (Web)"/>
    <w:basedOn w:val="Normal"/>
    <w:rsid w:val="00BE22DF"/>
    <w:rPr>
      <w:rFonts w:cs="Times New Roman"/>
      <w:sz w:val="24"/>
      <w:szCs w:val="24"/>
    </w:rPr>
  </w:style>
  <w:style w:type="paragraph" w:styleId="NormalIndent">
    <w:name w:val="Normal Indent"/>
    <w:basedOn w:val="Normal"/>
    <w:uiPriority w:val="99"/>
    <w:semiHidden/>
    <w:rsid w:val="00BE22DF"/>
    <w:pPr>
      <w:ind w:left="720"/>
    </w:pPr>
  </w:style>
  <w:style w:type="paragraph" w:customStyle="1" w:styleId="NoteHeading1">
    <w:name w:val="Note Heading1"/>
    <w:basedOn w:val="Normal"/>
    <w:next w:val="Normal"/>
    <w:link w:val="NoteHeadingChar"/>
    <w:uiPriority w:val="99"/>
    <w:semiHidden/>
    <w:rsid w:val="00BE22DF"/>
    <w:rPr>
      <w:rFonts w:cs="Times New Roman"/>
      <w:szCs w:val="20"/>
    </w:rPr>
  </w:style>
  <w:style w:type="character" w:customStyle="1" w:styleId="NoteHeadingChar">
    <w:name w:val="Note Heading Char"/>
    <w:link w:val="NoteHeading1"/>
    <w:uiPriority w:val="99"/>
    <w:semiHidden/>
    <w:rsid w:val="00BE22DF"/>
    <w:rPr>
      <w:rFonts w:ascii="Times New Roman" w:hAnsi="Times New Roman" w:cs="Times New Roman"/>
      <w:szCs w:val="20"/>
      <w:lang w:val="en-GB"/>
    </w:rPr>
  </w:style>
  <w:style w:type="character" w:styleId="PageNumber">
    <w:name w:val="page number"/>
    <w:uiPriority w:val="99"/>
    <w:semiHidden/>
    <w:rsid w:val="00BE22DF"/>
    <w:rPr>
      <w:rFonts w:ascii="Times New Roman" w:hAnsi="Times New Roman" w:cs="Times New Roman"/>
      <w:lang w:val="en-GB"/>
    </w:rPr>
  </w:style>
  <w:style w:type="character" w:styleId="PlaceholderText">
    <w:name w:val="Placeholder Text"/>
    <w:uiPriority w:val="99"/>
    <w:semiHidden/>
    <w:rsid w:val="00BE22DF"/>
    <w:rPr>
      <w:rFonts w:ascii="Times New Roman" w:hAnsi="Times New Roman" w:cs="Times New Roman"/>
      <w:color w:val="808080"/>
      <w:lang w:val="en-GB"/>
    </w:rPr>
  </w:style>
  <w:style w:type="paragraph" w:styleId="PlainText">
    <w:name w:val="Plain Text"/>
    <w:basedOn w:val="Normal"/>
    <w:link w:val="PlainTextChar"/>
    <w:uiPriority w:val="99"/>
    <w:semiHidden/>
    <w:rsid w:val="00BE22DF"/>
    <w:rPr>
      <w:rFonts w:ascii="Courier New" w:hAnsi="Courier New" w:cs="Courier New"/>
      <w:sz w:val="20"/>
      <w:szCs w:val="20"/>
    </w:rPr>
  </w:style>
  <w:style w:type="character" w:customStyle="1" w:styleId="PlainTextChar">
    <w:name w:val="Plain Text Char"/>
    <w:link w:val="PlainText"/>
    <w:uiPriority w:val="99"/>
    <w:semiHidden/>
    <w:rsid w:val="00BE22DF"/>
    <w:rPr>
      <w:rFonts w:ascii="Courier New" w:hAnsi="Courier New" w:cs="Courier New"/>
      <w:sz w:val="20"/>
      <w:szCs w:val="20"/>
      <w:lang w:val="en-GB"/>
    </w:rPr>
  </w:style>
  <w:style w:type="paragraph" w:styleId="Quote">
    <w:name w:val="Quote"/>
    <w:basedOn w:val="Normal"/>
    <w:next w:val="Normal"/>
    <w:link w:val="QuoteChar"/>
    <w:uiPriority w:val="39"/>
    <w:semiHidden/>
    <w:rsid w:val="00BE22DF"/>
    <w:pPr>
      <w:spacing w:after="220"/>
      <w:ind w:left="1418" w:right="1418"/>
      <w:jc w:val="both"/>
    </w:pPr>
    <w:rPr>
      <w:rFonts w:cs="Times New Roman"/>
      <w:szCs w:val="20"/>
    </w:rPr>
  </w:style>
  <w:style w:type="character" w:customStyle="1" w:styleId="QuoteChar">
    <w:name w:val="Quote Char"/>
    <w:link w:val="Quote"/>
    <w:uiPriority w:val="39"/>
    <w:semiHidden/>
    <w:rsid w:val="00BE22DF"/>
    <w:rPr>
      <w:rFonts w:ascii="Times New Roman" w:hAnsi="Times New Roman" w:cs="Times New Roman"/>
      <w:szCs w:val="20"/>
      <w:lang w:val="en-GB"/>
    </w:rPr>
  </w:style>
  <w:style w:type="paragraph" w:styleId="Salutation">
    <w:name w:val="Salutation"/>
    <w:basedOn w:val="Normal"/>
    <w:next w:val="Normal"/>
    <w:link w:val="SalutationChar"/>
    <w:uiPriority w:val="99"/>
    <w:semiHidden/>
    <w:rsid w:val="00BE22DF"/>
    <w:rPr>
      <w:rFonts w:cs="Times New Roman"/>
      <w:szCs w:val="20"/>
    </w:rPr>
  </w:style>
  <w:style w:type="character" w:customStyle="1" w:styleId="SalutationChar">
    <w:name w:val="Salutation Char"/>
    <w:link w:val="Salutation"/>
    <w:uiPriority w:val="99"/>
    <w:semiHidden/>
    <w:rsid w:val="00BE22DF"/>
    <w:rPr>
      <w:rFonts w:ascii="Times New Roman" w:hAnsi="Times New Roman" w:cs="Times New Roman"/>
      <w:szCs w:val="20"/>
      <w:lang w:val="en-GB"/>
    </w:rPr>
  </w:style>
  <w:style w:type="paragraph" w:styleId="Signature">
    <w:name w:val="Signature"/>
    <w:basedOn w:val="Normal"/>
    <w:link w:val="SignatureChar"/>
    <w:uiPriority w:val="39"/>
    <w:semiHidden/>
    <w:unhideWhenUsed/>
    <w:rsid w:val="00BE22DF"/>
    <w:rPr>
      <w:rFonts w:cs="Times New Roman"/>
      <w:szCs w:val="20"/>
    </w:rPr>
  </w:style>
  <w:style w:type="character" w:customStyle="1" w:styleId="SignatureChar">
    <w:name w:val="Signature Char"/>
    <w:link w:val="Signature"/>
    <w:uiPriority w:val="39"/>
    <w:semiHidden/>
    <w:rsid w:val="00BE22DF"/>
    <w:rPr>
      <w:rFonts w:ascii="Times New Roman" w:hAnsi="Times New Roman" w:cs="Times New Roman"/>
      <w:szCs w:val="20"/>
      <w:lang w:val="en-GB"/>
    </w:rPr>
  </w:style>
  <w:style w:type="character" w:styleId="Strong">
    <w:name w:val="Strong"/>
    <w:uiPriority w:val="99"/>
    <w:semiHidden/>
    <w:rsid w:val="00BE22DF"/>
    <w:rPr>
      <w:rFonts w:ascii="Times New Roman" w:hAnsi="Times New Roman" w:cs="Times New Roman"/>
      <w:b/>
      <w:bCs/>
      <w:lang w:val="en-GB"/>
    </w:rPr>
  </w:style>
  <w:style w:type="paragraph" w:styleId="Subtitle">
    <w:name w:val="Subtitle"/>
    <w:basedOn w:val="Normal"/>
    <w:link w:val="SubtitleChar"/>
    <w:uiPriority w:val="39"/>
    <w:unhideWhenUsed/>
    <w:rsid w:val="00BE22DF"/>
    <w:pPr>
      <w:spacing w:after="220"/>
      <w:jc w:val="center"/>
    </w:pPr>
    <w:rPr>
      <w:rFonts w:cs="Times New Roman"/>
      <w:b/>
      <w:i/>
      <w:szCs w:val="20"/>
    </w:rPr>
  </w:style>
  <w:style w:type="character" w:customStyle="1" w:styleId="SubtitleChar">
    <w:name w:val="Subtitle Char"/>
    <w:link w:val="Subtitle"/>
    <w:uiPriority w:val="39"/>
    <w:rsid w:val="00BE22DF"/>
    <w:rPr>
      <w:rFonts w:ascii="Times New Roman" w:hAnsi="Times New Roman" w:cs="Times New Roman"/>
      <w:b/>
      <w:i/>
      <w:szCs w:val="20"/>
      <w:lang w:val="en-GB"/>
    </w:rPr>
  </w:style>
  <w:style w:type="character" w:styleId="SubtleEmphasis">
    <w:name w:val="Subtle Emphasis"/>
    <w:uiPriority w:val="99"/>
    <w:semiHidden/>
    <w:rsid w:val="00BE22DF"/>
    <w:rPr>
      <w:rFonts w:ascii="Times New Roman" w:hAnsi="Times New Roman" w:cs="Times New Roman"/>
      <w:i/>
      <w:iCs/>
      <w:color w:val="808080"/>
      <w:lang w:val="en-GB"/>
    </w:rPr>
  </w:style>
  <w:style w:type="character" w:styleId="SubtleReference">
    <w:name w:val="Subtle Reference"/>
    <w:uiPriority w:val="99"/>
    <w:semiHidden/>
    <w:rsid w:val="00BE22DF"/>
    <w:rPr>
      <w:rFonts w:ascii="Times New Roman" w:hAnsi="Times New Roman" w:cs="Times New Roman"/>
      <w:smallCaps/>
      <w:color w:val="C0504D"/>
      <w:u w:val="single"/>
      <w:lang w:val="en-GB"/>
    </w:rPr>
  </w:style>
  <w:style w:type="table" w:styleId="Table3Deffects1">
    <w:name w:val="Table 3D effects 1"/>
    <w:basedOn w:val="TableNormal"/>
    <w:uiPriority w:val="99"/>
    <w:semiHidden/>
    <w:unhideWhenUsed/>
    <w:rsid w:val="00BE22DF"/>
    <w:rPr>
      <w:rFonts w:ascii="Times New Roman" w:hAnsi="Times New Roman" w:cs="Arial"/>
      <w:sz w:val="20"/>
      <w:szCs w:val="20"/>
      <w:lang w:eastAsia="zh-CN"/>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uiPriority w:val="99"/>
    <w:semiHidden/>
    <w:unhideWhenUsed/>
    <w:rsid w:val="00BE22DF"/>
    <w:rPr>
      <w:rFonts w:ascii="Times New Roman" w:hAnsi="Times New Roman" w:cs="Arial"/>
      <w:sz w:val="20"/>
      <w:szCs w:val="20"/>
      <w:lang w:eastAsia="zh-CN"/>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uiPriority w:val="99"/>
    <w:semiHidden/>
    <w:unhideWhenUsed/>
    <w:rsid w:val="00BE22DF"/>
    <w:rPr>
      <w:rFonts w:ascii="Times New Roman" w:hAnsi="Times New Roman" w:cs="Arial"/>
      <w:sz w:val="20"/>
      <w:szCs w:val="20"/>
      <w:lang w:eastAsia="zh-CN"/>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uiPriority w:val="99"/>
    <w:semiHidden/>
    <w:unhideWhenUsed/>
    <w:rsid w:val="00BE22DF"/>
    <w:rPr>
      <w:rFonts w:ascii="Times New Roman" w:hAnsi="Times New Roman" w:cs="Arial"/>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uiPriority w:val="99"/>
    <w:semiHidden/>
    <w:unhideWhenUsed/>
    <w:rsid w:val="00BE22DF"/>
    <w:rPr>
      <w:rFonts w:ascii="Times New Roman" w:hAnsi="Times New Roman" w:cs="Arial"/>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uiPriority w:val="99"/>
    <w:semiHidden/>
    <w:unhideWhenUsed/>
    <w:rsid w:val="00BE22DF"/>
    <w:rPr>
      <w:rFonts w:ascii="Times New Roman" w:hAnsi="Times New Roman" w:cs="Arial"/>
      <w:color w:val="000080"/>
      <w:sz w:val="20"/>
      <w:szCs w:val="20"/>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uiPriority w:val="99"/>
    <w:semiHidden/>
    <w:unhideWhenUsed/>
    <w:rsid w:val="00BE22DF"/>
    <w:rPr>
      <w:rFonts w:ascii="Times New Roman" w:hAnsi="Times New Roman" w:cs="Arial"/>
      <w:sz w:val="20"/>
      <w:szCs w:val="20"/>
      <w:lang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uiPriority w:val="99"/>
    <w:semiHidden/>
    <w:unhideWhenUsed/>
    <w:rsid w:val="00BE22DF"/>
    <w:rPr>
      <w:rFonts w:ascii="Times New Roman" w:hAnsi="Times New Roman" w:cs="Arial"/>
      <w:color w:val="FFFFFF"/>
      <w:sz w:val="20"/>
      <w:szCs w:val="20"/>
      <w:lang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uiPriority w:val="99"/>
    <w:semiHidden/>
    <w:unhideWhenUsed/>
    <w:rsid w:val="00BE22DF"/>
    <w:rPr>
      <w:rFonts w:ascii="Times New Roman" w:hAnsi="Times New Roman" w:cs="Arial"/>
      <w:sz w:val="20"/>
      <w:szCs w:val="20"/>
      <w:lang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uiPriority w:val="99"/>
    <w:semiHidden/>
    <w:unhideWhenUsed/>
    <w:rsid w:val="00BE22DF"/>
    <w:rPr>
      <w:rFonts w:ascii="Times New Roman" w:hAnsi="Times New Roman" w:cs="Arial"/>
      <w:sz w:val="20"/>
      <w:szCs w:val="20"/>
      <w:lang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uiPriority w:val="99"/>
    <w:semiHidden/>
    <w:unhideWhenUsed/>
    <w:rsid w:val="00BE22DF"/>
    <w:rPr>
      <w:rFonts w:ascii="Times New Roman" w:hAnsi="Times New Roman" w:cs="Arial"/>
      <w:b/>
      <w:bCs/>
      <w:sz w:val="20"/>
      <w:szCs w:val="20"/>
      <w:lang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uiPriority w:val="99"/>
    <w:semiHidden/>
    <w:unhideWhenUsed/>
    <w:rsid w:val="00BE22DF"/>
    <w:rPr>
      <w:rFonts w:ascii="Times New Roman" w:hAnsi="Times New Roman" w:cs="Arial"/>
      <w:b/>
      <w:bCs/>
      <w:sz w:val="20"/>
      <w:szCs w:val="20"/>
      <w:lang w:eastAsia="zh-CN"/>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uiPriority w:val="99"/>
    <w:semiHidden/>
    <w:unhideWhenUsed/>
    <w:rsid w:val="00BE22DF"/>
    <w:rPr>
      <w:rFonts w:ascii="Times New Roman" w:hAnsi="Times New Roman" w:cs="Arial"/>
      <w:b/>
      <w:bCs/>
      <w:sz w:val="20"/>
      <w:szCs w:val="20"/>
      <w:lang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uiPriority w:val="99"/>
    <w:semiHidden/>
    <w:unhideWhenUsed/>
    <w:rsid w:val="00BE22DF"/>
    <w:rPr>
      <w:rFonts w:ascii="Times New Roman" w:hAnsi="Times New Roman" w:cs="Arial"/>
      <w:sz w:val="20"/>
      <w:szCs w:val="20"/>
      <w:lang w:eastAsia="zh-CN"/>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E22DF"/>
    <w:rPr>
      <w:rFonts w:ascii="Times New Roman" w:hAnsi="Times New Roman" w:cs="Arial"/>
      <w:sz w:val="20"/>
      <w:szCs w:val="20"/>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E22DF"/>
    <w:rPr>
      <w:rFonts w:ascii="Times New Roman" w:hAnsi="Times New Roman" w:cs="Arial"/>
      <w:sz w:val="20"/>
      <w:szCs w:val="20"/>
      <w:lang w:eastAsia="zh-CN"/>
    </w:rPr>
    <w:tblPr>
      <w:tblStyleRowBandSize w:val="1"/>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uiPriority w:val="99"/>
    <w:semiHidden/>
    <w:unhideWhenUsed/>
    <w:rsid w:val="00BE22DF"/>
    <w:rPr>
      <w:rFonts w:ascii="Times New Roman" w:hAnsi="Times New Roman" w:cs="Arial"/>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uiPriority w:val="39"/>
    <w:rsid w:val="00BE22DF"/>
    <w:rPr>
      <w:rFonts w:ascii="Times New Roman" w:hAnsi="Times New Roman" w:cs="Arial"/>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BE22DF"/>
    <w:rPr>
      <w:rFonts w:ascii="Times New Roman" w:hAnsi="Times New Roman" w:cs="Arial"/>
      <w:sz w:val="20"/>
      <w:szCs w:val="20"/>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TableGrid2">
    <w:name w:val="Table Grid 2"/>
    <w:basedOn w:val="TableNormal"/>
    <w:uiPriority w:val="99"/>
    <w:semiHidden/>
    <w:unhideWhenUsed/>
    <w:rsid w:val="00BE22DF"/>
    <w:rPr>
      <w:rFonts w:ascii="Times New Roman" w:hAnsi="Times New Roman" w:cs="Arial"/>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uiPriority w:val="99"/>
    <w:semiHidden/>
    <w:unhideWhenUsed/>
    <w:rsid w:val="00BE22DF"/>
    <w:rPr>
      <w:rFonts w:ascii="Times New Roman" w:hAnsi="Times New Roman" w:cs="Arial"/>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styleId="TableGrid4">
    <w:name w:val="Table Grid 4"/>
    <w:basedOn w:val="TableNormal"/>
    <w:uiPriority w:val="99"/>
    <w:semiHidden/>
    <w:unhideWhenUsed/>
    <w:rsid w:val="00BE22DF"/>
    <w:rPr>
      <w:rFonts w:ascii="Times New Roman" w:hAnsi="Times New Roman" w:cs="Arial"/>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uiPriority w:val="99"/>
    <w:semiHidden/>
    <w:unhideWhenUsed/>
    <w:rsid w:val="00BE22DF"/>
    <w:rPr>
      <w:rFonts w:ascii="Times New Roman" w:hAnsi="Times New Roman" w:cs="Arial"/>
      <w:sz w:val="20"/>
      <w:szCs w:val="20"/>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uiPriority w:val="99"/>
    <w:semiHidden/>
    <w:unhideWhenUsed/>
    <w:rsid w:val="00BE22DF"/>
    <w:rPr>
      <w:rFonts w:ascii="Times New Roman" w:hAnsi="Times New Roman" w:cs="Arial"/>
      <w:sz w:val="20"/>
      <w:szCs w:val="20"/>
      <w:lang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uiPriority w:val="99"/>
    <w:semiHidden/>
    <w:unhideWhenUsed/>
    <w:rsid w:val="00BE22DF"/>
    <w:rPr>
      <w:rFonts w:ascii="Times New Roman" w:hAnsi="Times New Roman" w:cs="Arial"/>
      <w:b/>
      <w:bCs/>
      <w:sz w:val="20"/>
      <w:szCs w:val="20"/>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uiPriority w:val="99"/>
    <w:semiHidden/>
    <w:unhideWhenUsed/>
    <w:rsid w:val="00BE22DF"/>
    <w:rPr>
      <w:rFonts w:ascii="Times New Roman" w:hAnsi="Times New Roman" w:cs="Arial"/>
      <w:sz w:val="20"/>
      <w:szCs w:val="20"/>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uiPriority w:val="99"/>
    <w:semiHidden/>
    <w:unhideWhenUsed/>
    <w:rsid w:val="00BE22DF"/>
    <w:rPr>
      <w:rFonts w:ascii="Times New Roman" w:hAnsi="Times New Roman" w:cs="Arial"/>
      <w:sz w:val="20"/>
      <w:szCs w:val="20"/>
      <w:lang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uiPriority w:val="99"/>
    <w:semiHidden/>
    <w:unhideWhenUsed/>
    <w:rsid w:val="00BE22DF"/>
    <w:rPr>
      <w:rFonts w:ascii="Times New Roman" w:hAnsi="Times New Roman" w:cs="Arial"/>
      <w:sz w:val="20"/>
      <w:szCs w:val="20"/>
      <w:lang w:eastAsia="zh-CN"/>
    </w:rPr>
    <w:tblPr>
      <w:tblStyleRowBandSize w:val="2"/>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uiPriority w:val="99"/>
    <w:semiHidden/>
    <w:unhideWhenUsed/>
    <w:rsid w:val="00BE22DF"/>
    <w:rPr>
      <w:rFonts w:ascii="Times New Roman" w:hAnsi="Times New Roman" w:cs="Arial"/>
      <w:sz w:val="20"/>
      <w:szCs w:val="20"/>
      <w:lang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uiPriority w:val="99"/>
    <w:semiHidden/>
    <w:unhideWhenUsed/>
    <w:rsid w:val="00BE22DF"/>
    <w:rPr>
      <w:rFonts w:ascii="Times New Roman" w:hAnsi="Times New Roman" w:cs="Arial"/>
      <w:sz w:val="20"/>
      <w:szCs w:val="20"/>
      <w:lang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uiPriority w:val="99"/>
    <w:semiHidden/>
    <w:unhideWhenUsed/>
    <w:rsid w:val="00BE22DF"/>
    <w:rPr>
      <w:rFonts w:ascii="Times New Roman" w:hAnsi="Times New Roman" w:cs="Arial"/>
      <w:sz w:val="20"/>
      <w:szCs w:val="20"/>
      <w:lang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uiPriority w:val="99"/>
    <w:semiHidden/>
    <w:unhideWhenUsed/>
    <w:rsid w:val="00BE22DF"/>
    <w:rPr>
      <w:rFonts w:ascii="Times New Roman" w:hAnsi="Times New Roman" w:cs="Arial"/>
      <w:sz w:val="20"/>
      <w:szCs w:val="20"/>
      <w:lang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table" w:styleId="TableList7">
    <w:name w:val="Table List 7"/>
    <w:basedOn w:val="TableNormal"/>
    <w:uiPriority w:val="99"/>
    <w:semiHidden/>
    <w:unhideWhenUsed/>
    <w:rsid w:val="00BE22DF"/>
    <w:rPr>
      <w:rFonts w:ascii="Times New Roman" w:hAnsi="Times New Roman" w:cs="Arial"/>
      <w:sz w:val="20"/>
      <w:szCs w:val="20"/>
      <w:lang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uiPriority w:val="99"/>
    <w:semiHidden/>
    <w:unhideWhenUsed/>
    <w:rsid w:val="00BE22DF"/>
    <w:rPr>
      <w:rFonts w:ascii="Times New Roman" w:hAnsi="Times New Roman" w:cs="Arial"/>
      <w:sz w:val="20"/>
      <w:szCs w:val="20"/>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paragraph" w:styleId="TableofAuthorities">
    <w:name w:val="table of authorities"/>
    <w:basedOn w:val="Normal"/>
    <w:next w:val="Normal"/>
    <w:uiPriority w:val="39"/>
    <w:semiHidden/>
    <w:rsid w:val="00BE22DF"/>
    <w:pPr>
      <w:tabs>
        <w:tab w:val="left" w:pos="8640"/>
      </w:tabs>
      <w:spacing w:after="240"/>
      <w:ind w:left="202" w:hanging="202"/>
    </w:pPr>
    <w:rPr>
      <w:rFonts w:cs="Times New Roman"/>
      <w:szCs w:val="20"/>
    </w:rPr>
  </w:style>
  <w:style w:type="paragraph" w:styleId="TableofFigures">
    <w:name w:val="table of figures"/>
    <w:basedOn w:val="Normal"/>
    <w:next w:val="Normal"/>
    <w:uiPriority w:val="39"/>
    <w:semiHidden/>
    <w:rsid w:val="00BE22DF"/>
    <w:pPr>
      <w:tabs>
        <w:tab w:val="right" w:leader="dot" w:pos="9360"/>
      </w:tabs>
      <w:ind w:left="475" w:firstLine="475"/>
    </w:pPr>
    <w:rPr>
      <w:rFonts w:cs="Times New Roman"/>
      <w:szCs w:val="20"/>
    </w:rPr>
  </w:style>
  <w:style w:type="table" w:styleId="TableProfessional">
    <w:name w:val="Table Professional"/>
    <w:basedOn w:val="TableNormal"/>
    <w:uiPriority w:val="99"/>
    <w:semiHidden/>
    <w:unhideWhenUsed/>
    <w:rsid w:val="00BE22DF"/>
    <w:rPr>
      <w:rFonts w:ascii="Times New Roman" w:hAnsi="Times New Roman" w:cs="Arial"/>
      <w:sz w:val="20"/>
      <w:szCs w:val="20"/>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uiPriority w:val="99"/>
    <w:semiHidden/>
    <w:unhideWhenUsed/>
    <w:rsid w:val="00BE22DF"/>
    <w:rPr>
      <w:rFonts w:ascii="Times New Roman" w:hAnsi="Times New Roman" w:cs="Arial"/>
      <w:sz w:val="20"/>
      <w:szCs w:val="20"/>
      <w:lang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uiPriority w:val="99"/>
    <w:semiHidden/>
    <w:unhideWhenUsed/>
    <w:rsid w:val="00BE22DF"/>
    <w:rPr>
      <w:rFonts w:ascii="Times New Roman" w:hAnsi="Times New Roman" w:cs="Arial"/>
      <w:sz w:val="20"/>
      <w:szCs w:val="20"/>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uiPriority w:val="99"/>
    <w:semiHidden/>
    <w:unhideWhenUsed/>
    <w:rsid w:val="00BE22DF"/>
    <w:rPr>
      <w:rFonts w:ascii="Times New Roman" w:hAnsi="Times New Roman" w:cs="Arial"/>
      <w:sz w:val="20"/>
      <w:szCs w:val="20"/>
      <w:lang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uiPriority w:val="99"/>
    <w:semiHidden/>
    <w:unhideWhenUsed/>
    <w:rsid w:val="00BE22DF"/>
    <w:rPr>
      <w:rFonts w:ascii="Times New Roman" w:hAnsi="Times New Roman" w:cs="Arial"/>
      <w:sz w:val="20"/>
      <w:szCs w:val="20"/>
      <w:lang w:eastAsia="zh-CN"/>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uiPriority w:val="99"/>
    <w:semiHidden/>
    <w:unhideWhenUsed/>
    <w:rsid w:val="00BE22DF"/>
    <w:rPr>
      <w:rFonts w:ascii="Times New Roman" w:hAnsi="Times New Roman" w:cs="Arial"/>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uiPriority w:val="99"/>
    <w:semiHidden/>
    <w:unhideWhenUsed/>
    <w:rsid w:val="00BE22DF"/>
    <w:rPr>
      <w:rFonts w:ascii="Times New Roman" w:hAnsi="Times New Roman" w:cs="Arial"/>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BE22DF"/>
    <w:rPr>
      <w:rFonts w:ascii="Times New Roman" w:hAnsi="Times New Roman" w:cs="Arial"/>
      <w:sz w:val="20"/>
      <w:szCs w:val="20"/>
      <w:lang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uiPriority w:val="99"/>
    <w:semiHidden/>
    <w:unhideWhenUsed/>
    <w:rsid w:val="00BE22DF"/>
    <w:rPr>
      <w:rFonts w:ascii="Times New Roman" w:hAnsi="Times New Roman" w:cs="Arial"/>
      <w:sz w:val="20"/>
      <w:szCs w:val="20"/>
      <w:lang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uiPriority w:val="99"/>
    <w:semiHidden/>
    <w:unhideWhenUsed/>
    <w:rsid w:val="00BE22DF"/>
    <w:rPr>
      <w:rFonts w:ascii="Times New Roman" w:hAnsi="Times New Roman" w:cs="Arial"/>
      <w:sz w:val="20"/>
      <w:szCs w:val="20"/>
      <w:lang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OAHeading">
    <w:name w:val="toa heading"/>
    <w:basedOn w:val="Normal"/>
    <w:next w:val="Normal"/>
    <w:uiPriority w:val="39"/>
    <w:semiHidden/>
    <w:rsid w:val="00BE22DF"/>
    <w:pPr>
      <w:spacing w:after="240"/>
    </w:pPr>
    <w:rPr>
      <w:rFonts w:cs="Times New Roman"/>
      <w:b/>
      <w:caps/>
      <w:szCs w:val="20"/>
    </w:rPr>
  </w:style>
  <w:style w:type="paragraph" w:styleId="TOC1">
    <w:name w:val="toc 1"/>
    <w:basedOn w:val="Normal"/>
    <w:uiPriority w:val="39"/>
    <w:semiHidden/>
    <w:rsid w:val="00BE22DF"/>
    <w:pPr>
      <w:keepLines/>
      <w:widowControl w:val="0"/>
      <w:tabs>
        <w:tab w:val="right" w:leader="dot" w:pos="9072"/>
      </w:tabs>
      <w:spacing w:before="120" w:after="120"/>
      <w:ind w:left="709" w:right="709" w:hanging="709"/>
    </w:pPr>
    <w:rPr>
      <w:rFonts w:cs="Times New Roman"/>
      <w:b/>
      <w:caps/>
    </w:rPr>
  </w:style>
  <w:style w:type="paragraph" w:styleId="TOC2">
    <w:name w:val="toc 2"/>
    <w:basedOn w:val="Normal"/>
    <w:uiPriority w:val="39"/>
    <w:semiHidden/>
    <w:rsid w:val="00BE22DF"/>
    <w:pPr>
      <w:keepLines/>
      <w:widowControl w:val="0"/>
      <w:tabs>
        <w:tab w:val="right" w:leader="dot" w:pos="9072"/>
      </w:tabs>
      <w:spacing w:before="60" w:after="60"/>
      <w:ind w:left="1418" w:right="709" w:hanging="709"/>
    </w:pPr>
    <w:rPr>
      <w:rFonts w:cs="Times New Roman"/>
      <w:b/>
      <w:caps/>
      <w:szCs w:val="24"/>
    </w:rPr>
  </w:style>
  <w:style w:type="paragraph" w:styleId="TOC3">
    <w:name w:val="toc 3"/>
    <w:basedOn w:val="Normal"/>
    <w:uiPriority w:val="39"/>
    <w:semiHidden/>
    <w:unhideWhenUsed/>
    <w:rsid w:val="00BE22DF"/>
    <w:pPr>
      <w:keepLines/>
      <w:widowControl w:val="0"/>
      <w:tabs>
        <w:tab w:val="right" w:leader="dot" w:pos="9072"/>
      </w:tabs>
      <w:ind w:left="2127" w:right="709" w:hanging="709"/>
    </w:pPr>
    <w:rPr>
      <w:rFonts w:cs="Times New Roman"/>
      <w:b/>
      <w:szCs w:val="20"/>
    </w:rPr>
  </w:style>
  <w:style w:type="paragraph" w:styleId="TOC4">
    <w:name w:val="toc 4"/>
    <w:basedOn w:val="Normal"/>
    <w:uiPriority w:val="39"/>
    <w:semiHidden/>
    <w:unhideWhenUsed/>
    <w:rsid w:val="00BE22DF"/>
    <w:pPr>
      <w:keepLines/>
      <w:widowControl w:val="0"/>
      <w:tabs>
        <w:tab w:val="right" w:leader="dot" w:pos="9072"/>
      </w:tabs>
      <w:ind w:left="2835" w:right="709" w:hanging="709"/>
    </w:pPr>
    <w:rPr>
      <w:rFonts w:cs="Times New Roman"/>
      <w:szCs w:val="20"/>
    </w:rPr>
  </w:style>
  <w:style w:type="paragraph" w:styleId="TOC5">
    <w:name w:val="toc 5"/>
    <w:basedOn w:val="Normal"/>
    <w:uiPriority w:val="39"/>
    <w:semiHidden/>
    <w:unhideWhenUsed/>
    <w:rsid w:val="00BE22DF"/>
    <w:pPr>
      <w:keepLines/>
      <w:widowControl w:val="0"/>
      <w:tabs>
        <w:tab w:val="right" w:leader="dot" w:pos="9072"/>
      </w:tabs>
      <w:ind w:left="3544" w:right="709" w:hanging="709"/>
    </w:pPr>
    <w:rPr>
      <w:rFonts w:cs="Times New Roman"/>
      <w:szCs w:val="20"/>
    </w:rPr>
  </w:style>
  <w:style w:type="paragraph" w:styleId="TOC6">
    <w:name w:val="toc 6"/>
    <w:basedOn w:val="Normal"/>
    <w:uiPriority w:val="39"/>
    <w:semiHidden/>
    <w:unhideWhenUsed/>
    <w:rsid w:val="00BE22DF"/>
    <w:pPr>
      <w:keepLines/>
      <w:widowControl w:val="0"/>
      <w:tabs>
        <w:tab w:val="right" w:leader="dot" w:pos="9072"/>
      </w:tabs>
      <w:ind w:left="4253" w:right="709" w:hanging="709"/>
    </w:pPr>
    <w:rPr>
      <w:rFonts w:cs="Times New Roman"/>
      <w:szCs w:val="20"/>
    </w:rPr>
  </w:style>
  <w:style w:type="paragraph" w:styleId="TOC7">
    <w:name w:val="toc 7"/>
    <w:basedOn w:val="Normal"/>
    <w:uiPriority w:val="39"/>
    <w:semiHidden/>
    <w:unhideWhenUsed/>
    <w:rsid w:val="00BE22DF"/>
    <w:pPr>
      <w:keepLines/>
      <w:widowControl w:val="0"/>
      <w:tabs>
        <w:tab w:val="right" w:leader="dot" w:pos="9072"/>
      </w:tabs>
      <w:ind w:left="4962" w:right="709" w:hanging="709"/>
    </w:pPr>
    <w:rPr>
      <w:rFonts w:cs="Times New Roman"/>
      <w:szCs w:val="20"/>
    </w:rPr>
  </w:style>
  <w:style w:type="paragraph" w:styleId="TOC8">
    <w:name w:val="toc 8"/>
    <w:basedOn w:val="Normal"/>
    <w:uiPriority w:val="39"/>
    <w:semiHidden/>
    <w:unhideWhenUsed/>
    <w:rsid w:val="00BE22DF"/>
    <w:pPr>
      <w:keepLines/>
      <w:widowControl w:val="0"/>
      <w:tabs>
        <w:tab w:val="right" w:leader="dot" w:pos="9072"/>
      </w:tabs>
      <w:ind w:left="5670" w:right="709" w:hanging="709"/>
    </w:pPr>
    <w:rPr>
      <w:rFonts w:cs="Times New Roman"/>
      <w:szCs w:val="20"/>
    </w:rPr>
  </w:style>
  <w:style w:type="paragraph" w:styleId="TOC9">
    <w:name w:val="toc 9"/>
    <w:basedOn w:val="Normal"/>
    <w:uiPriority w:val="39"/>
    <w:semiHidden/>
    <w:unhideWhenUsed/>
    <w:rsid w:val="00BE22DF"/>
    <w:pPr>
      <w:keepLines/>
      <w:widowControl w:val="0"/>
      <w:tabs>
        <w:tab w:val="right" w:leader="dot" w:pos="9072"/>
      </w:tabs>
      <w:ind w:left="6379" w:right="709" w:hanging="709"/>
    </w:pPr>
    <w:rPr>
      <w:rFonts w:cs="Times New Roman"/>
      <w:szCs w:val="20"/>
    </w:rPr>
  </w:style>
  <w:style w:type="paragraph" w:styleId="TOCHeading">
    <w:name w:val="TOC Heading"/>
    <w:basedOn w:val="Heading1"/>
    <w:next w:val="Normal"/>
    <w:uiPriority w:val="39"/>
    <w:semiHidden/>
    <w:unhideWhenUsed/>
    <w:rsid w:val="00BE22DF"/>
    <w:pPr>
      <w:numPr>
        <w:numId w:val="0"/>
      </w:numPr>
      <w:outlineLvl w:val="9"/>
    </w:pPr>
    <w:rPr>
      <w:szCs w:val="22"/>
    </w:rPr>
  </w:style>
  <w:style w:type="paragraph" w:customStyle="1" w:styleId="BodyTextContinued">
    <w:name w:val="Body Text Continued"/>
    <w:basedOn w:val="Normal"/>
    <w:next w:val="BodyText1"/>
    <w:uiPriority w:val="2"/>
    <w:semiHidden/>
    <w:rsid w:val="00BE22DF"/>
    <w:pPr>
      <w:spacing w:after="220"/>
      <w:jc w:val="both"/>
    </w:pPr>
    <w:rPr>
      <w:rFonts w:cs="Times New Roman"/>
      <w:szCs w:val="24"/>
    </w:rPr>
  </w:style>
  <w:style w:type="paragraph" w:customStyle="1" w:styleId="BodyText1">
    <w:name w:val="BodyText 1"/>
    <w:basedOn w:val="Normal"/>
    <w:uiPriority w:val="1"/>
    <w:qFormat/>
    <w:rsid w:val="00BE22DF"/>
    <w:pPr>
      <w:spacing w:after="220"/>
      <w:jc w:val="both"/>
    </w:pPr>
    <w:rPr>
      <w:rFonts w:cs="Times New Roman"/>
      <w:szCs w:val="24"/>
    </w:rPr>
  </w:style>
  <w:style w:type="paragraph" w:customStyle="1" w:styleId="BodyText20">
    <w:name w:val="BodyText 2"/>
    <w:basedOn w:val="Normal"/>
    <w:uiPriority w:val="1"/>
    <w:qFormat/>
    <w:rsid w:val="00BE22DF"/>
    <w:pPr>
      <w:spacing w:after="220"/>
      <w:ind w:left="706"/>
      <w:jc w:val="both"/>
    </w:pPr>
    <w:rPr>
      <w:rFonts w:eastAsia="Calibri" w:cs="Times New Roman"/>
      <w:szCs w:val="20"/>
    </w:rPr>
  </w:style>
  <w:style w:type="paragraph" w:customStyle="1" w:styleId="BodyText30">
    <w:name w:val="BodyText 3"/>
    <w:basedOn w:val="Normal"/>
    <w:uiPriority w:val="1"/>
    <w:qFormat/>
    <w:rsid w:val="00BE22DF"/>
    <w:pPr>
      <w:spacing w:after="220"/>
      <w:ind w:left="1418"/>
      <w:jc w:val="both"/>
    </w:pPr>
    <w:rPr>
      <w:rFonts w:eastAsia="Calibri" w:cs="Times New Roman"/>
      <w:szCs w:val="20"/>
    </w:rPr>
  </w:style>
  <w:style w:type="paragraph" w:customStyle="1" w:styleId="BodyText4">
    <w:name w:val="BodyText 4"/>
    <w:basedOn w:val="Normal"/>
    <w:uiPriority w:val="1"/>
    <w:rsid w:val="00BE22DF"/>
    <w:pPr>
      <w:spacing w:after="220"/>
      <w:ind w:left="2126"/>
      <w:jc w:val="both"/>
    </w:pPr>
    <w:rPr>
      <w:rFonts w:eastAsia="MS Mincho" w:cs="Times New Roman"/>
      <w:szCs w:val="20"/>
    </w:rPr>
  </w:style>
  <w:style w:type="paragraph" w:customStyle="1" w:styleId="BodyText5">
    <w:name w:val="BodyText 5"/>
    <w:basedOn w:val="Normal"/>
    <w:uiPriority w:val="1"/>
    <w:rsid w:val="00BE22DF"/>
    <w:pPr>
      <w:spacing w:after="220"/>
      <w:ind w:left="2835"/>
      <w:jc w:val="both"/>
    </w:pPr>
    <w:rPr>
      <w:rFonts w:eastAsia="MS Mincho" w:cs="Times New Roman"/>
      <w:szCs w:val="20"/>
    </w:rPr>
  </w:style>
  <w:style w:type="paragraph" w:customStyle="1" w:styleId="BodyText6">
    <w:name w:val="BodyText 6"/>
    <w:basedOn w:val="Normal"/>
    <w:uiPriority w:val="1"/>
    <w:semiHidden/>
    <w:unhideWhenUsed/>
    <w:rsid w:val="00BE22DF"/>
    <w:pPr>
      <w:spacing w:after="220"/>
      <w:ind w:left="3544"/>
      <w:jc w:val="both"/>
    </w:pPr>
    <w:rPr>
      <w:rFonts w:cs="Times New Roman"/>
      <w:szCs w:val="20"/>
    </w:rPr>
  </w:style>
  <w:style w:type="paragraph" w:customStyle="1" w:styleId="BodyText7">
    <w:name w:val="BodyText 7"/>
    <w:basedOn w:val="Normal"/>
    <w:uiPriority w:val="1"/>
    <w:semiHidden/>
    <w:unhideWhenUsed/>
    <w:rsid w:val="00BE22DF"/>
    <w:pPr>
      <w:spacing w:after="220"/>
      <w:ind w:left="4253"/>
      <w:jc w:val="both"/>
    </w:pPr>
    <w:rPr>
      <w:rFonts w:cs="Times New Roman"/>
      <w:szCs w:val="20"/>
    </w:rPr>
  </w:style>
  <w:style w:type="paragraph" w:customStyle="1" w:styleId="Centered">
    <w:name w:val="Centered"/>
    <w:basedOn w:val="Normal"/>
    <w:next w:val="BodyText1"/>
    <w:qFormat/>
    <w:rsid w:val="00BE22DF"/>
    <w:pPr>
      <w:spacing w:after="220"/>
      <w:jc w:val="center"/>
    </w:pPr>
    <w:rPr>
      <w:rFonts w:cs="Times New Roman"/>
      <w:b/>
      <w:szCs w:val="20"/>
    </w:rPr>
  </w:style>
  <w:style w:type="paragraph" w:customStyle="1" w:styleId="Definition1">
    <w:name w:val="Definition 1"/>
    <w:basedOn w:val="Normal"/>
    <w:uiPriority w:val="3"/>
    <w:qFormat/>
    <w:rsid w:val="00BE22DF"/>
    <w:pPr>
      <w:numPr>
        <w:numId w:val="1"/>
      </w:numPr>
      <w:spacing w:after="220"/>
      <w:jc w:val="both"/>
    </w:pPr>
    <w:rPr>
      <w:rFonts w:cs="Times New Roman"/>
      <w:szCs w:val="20"/>
    </w:rPr>
  </w:style>
  <w:style w:type="paragraph" w:customStyle="1" w:styleId="Definition2">
    <w:name w:val="Definition 2"/>
    <w:basedOn w:val="Normal"/>
    <w:uiPriority w:val="3"/>
    <w:qFormat/>
    <w:rsid w:val="00BE22DF"/>
    <w:pPr>
      <w:numPr>
        <w:ilvl w:val="1"/>
        <w:numId w:val="1"/>
      </w:numPr>
      <w:spacing w:after="220"/>
      <w:jc w:val="both"/>
    </w:pPr>
    <w:rPr>
      <w:rFonts w:cs="Times New Roman"/>
      <w:szCs w:val="20"/>
    </w:rPr>
  </w:style>
  <w:style w:type="paragraph" w:customStyle="1" w:styleId="Definition3">
    <w:name w:val="Definition 3"/>
    <w:basedOn w:val="Normal"/>
    <w:uiPriority w:val="3"/>
    <w:qFormat/>
    <w:rsid w:val="00BE22DF"/>
    <w:pPr>
      <w:numPr>
        <w:ilvl w:val="2"/>
        <w:numId w:val="1"/>
      </w:numPr>
      <w:spacing w:after="220"/>
      <w:jc w:val="both"/>
    </w:pPr>
    <w:rPr>
      <w:rFonts w:cs="Times New Roman"/>
      <w:szCs w:val="20"/>
    </w:rPr>
  </w:style>
  <w:style w:type="paragraph" w:customStyle="1" w:styleId="Definition4">
    <w:name w:val="Definition 4"/>
    <w:basedOn w:val="Normal"/>
    <w:uiPriority w:val="3"/>
    <w:qFormat/>
    <w:rsid w:val="00BE22DF"/>
    <w:pPr>
      <w:numPr>
        <w:ilvl w:val="3"/>
        <w:numId w:val="1"/>
      </w:numPr>
      <w:spacing w:after="220"/>
      <w:jc w:val="both"/>
    </w:pPr>
    <w:rPr>
      <w:rFonts w:cs="Times New Roman"/>
      <w:szCs w:val="20"/>
    </w:rPr>
  </w:style>
  <w:style w:type="paragraph" w:customStyle="1" w:styleId="Definition5">
    <w:name w:val="Definition 5"/>
    <w:basedOn w:val="Normal"/>
    <w:uiPriority w:val="3"/>
    <w:rsid w:val="00BE22DF"/>
    <w:pPr>
      <w:numPr>
        <w:ilvl w:val="4"/>
        <w:numId w:val="1"/>
      </w:numPr>
      <w:spacing w:after="220"/>
      <w:jc w:val="both"/>
    </w:pPr>
    <w:rPr>
      <w:rFonts w:cs="Times New Roman"/>
      <w:szCs w:val="20"/>
    </w:rPr>
  </w:style>
  <w:style w:type="paragraph" w:customStyle="1" w:styleId="Definition6">
    <w:name w:val="Definition 6"/>
    <w:basedOn w:val="Normal"/>
    <w:uiPriority w:val="3"/>
    <w:semiHidden/>
    <w:unhideWhenUsed/>
    <w:rsid w:val="00BE22DF"/>
    <w:pPr>
      <w:numPr>
        <w:ilvl w:val="5"/>
        <w:numId w:val="1"/>
      </w:numPr>
      <w:spacing w:after="220"/>
      <w:jc w:val="both"/>
    </w:pPr>
    <w:rPr>
      <w:rFonts w:cs="Times New Roman"/>
      <w:szCs w:val="20"/>
    </w:rPr>
  </w:style>
  <w:style w:type="paragraph" w:customStyle="1" w:styleId="Definition7">
    <w:name w:val="Definition 7"/>
    <w:basedOn w:val="Normal"/>
    <w:uiPriority w:val="3"/>
    <w:semiHidden/>
    <w:unhideWhenUsed/>
    <w:rsid w:val="00BE22DF"/>
    <w:pPr>
      <w:numPr>
        <w:ilvl w:val="6"/>
        <w:numId w:val="1"/>
      </w:numPr>
      <w:spacing w:after="220"/>
      <w:jc w:val="both"/>
    </w:pPr>
    <w:rPr>
      <w:rFonts w:cs="Times New Roman"/>
      <w:szCs w:val="20"/>
    </w:rPr>
  </w:style>
  <w:style w:type="paragraph" w:customStyle="1" w:styleId="Definition8">
    <w:name w:val="Definition 8"/>
    <w:basedOn w:val="Normal"/>
    <w:uiPriority w:val="3"/>
    <w:semiHidden/>
    <w:unhideWhenUsed/>
    <w:rsid w:val="00BE22DF"/>
    <w:pPr>
      <w:numPr>
        <w:ilvl w:val="7"/>
        <w:numId w:val="1"/>
      </w:numPr>
      <w:spacing w:after="220"/>
      <w:jc w:val="both"/>
    </w:pPr>
    <w:rPr>
      <w:rFonts w:cs="Times New Roman"/>
      <w:szCs w:val="20"/>
    </w:rPr>
  </w:style>
  <w:style w:type="paragraph" w:customStyle="1" w:styleId="Definition9">
    <w:name w:val="Definition 9"/>
    <w:basedOn w:val="Normal"/>
    <w:uiPriority w:val="3"/>
    <w:semiHidden/>
    <w:unhideWhenUsed/>
    <w:rsid w:val="00BE22DF"/>
    <w:pPr>
      <w:numPr>
        <w:ilvl w:val="8"/>
        <w:numId w:val="1"/>
      </w:numPr>
      <w:spacing w:after="220"/>
      <w:jc w:val="both"/>
    </w:pPr>
    <w:rPr>
      <w:rFonts w:cs="Times New Roman"/>
      <w:szCs w:val="20"/>
    </w:rPr>
  </w:style>
  <w:style w:type="paragraph" w:customStyle="1" w:styleId="Parties">
    <w:name w:val="Parties"/>
    <w:basedOn w:val="Normal"/>
    <w:uiPriority w:val="2"/>
    <w:qFormat/>
    <w:rsid w:val="00BE22DF"/>
    <w:pPr>
      <w:numPr>
        <w:numId w:val="5"/>
      </w:numPr>
      <w:spacing w:after="220"/>
      <w:jc w:val="both"/>
    </w:pPr>
    <w:rPr>
      <w:rFonts w:cs="Times New Roman"/>
      <w:szCs w:val="20"/>
    </w:rPr>
  </w:style>
  <w:style w:type="paragraph" w:customStyle="1" w:styleId="Recitals">
    <w:name w:val="Recitals"/>
    <w:basedOn w:val="Normal"/>
    <w:uiPriority w:val="2"/>
    <w:qFormat/>
    <w:rsid w:val="00BE22DF"/>
    <w:pPr>
      <w:numPr>
        <w:numId w:val="6"/>
      </w:numPr>
      <w:spacing w:after="220"/>
      <w:jc w:val="both"/>
    </w:pPr>
    <w:rPr>
      <w:rFonts w:cs="Times New Roman"/>
      <w:szCs w:val="20"/>
    </w:rPr>
  </w:style>
  <w:style w:type="paragraph" w:customStyle="1" w:styleId="ScheduleTitle">
    <w:name w:val="Schedule Title"/>
    <w:basedOn w:val="Normal"/>
    <w:next w:val="Schedule1"/>
    <w:uiPriority w:val="17"/>
    <w:qFormat/>
    <w:rsid w:val="00BE22DF"/>
    <w:pPr>
      <w:numPr>
        <w:numId w:val="7"/>
      </w:numPr>
      <w:spacing w:after="220"/>
      <w:jc w:val="center"/>
      <w:outlineLvl w:val="1"/>
    </w:pPr>
    <w:rPr>
      <w:rFonts w:cs="Times New Roman"/>
      <w:b/>
      <w:caps/>
      <w:szCs w:val="20"/>
    </w:rPr>
  </w:style>
  <w:style w:type="paragraph" w:customStyle="1" w:styleId="Schedule2">
    <w:name w:val="Schedule 2"/>
    <w:basedOn w:val="Normal"/>
    <w:uiPriority w:val="19"/>
    <w:qFormat/>
    <w:rsid w:val="00BE22DF"/>
    <w:pPr>
      <w:numPr>
        <w:ilvl w:val="2"/>
        <w:numId w:val="7"/>
      </w:numPr>
      <w:spacing w:after="220"/>
      <w:jc w:val="both"/>
    </w:pPr>
    <w:rPr>
      <w:rFonts w:cs="Times New Roman"/>
      <w:szCs w:val="20"/>
    </w:rPr>
  </w:style>
  <w:style w:type="paragraph" w:customStyle="1" w:styleId="Schedule3">
    <w:name w:val="Schedule 3"/>
    <w:basedOn w:val="Normal"/>
    <w:uiPriority w:val="19"/>
    <w:qFormat/>
    <w:rsid w:val="00BE22DF"/>
    <w:pPr>
      <w:numPr>
        <w:ilvl w:val="3"/>
        <w:numId w:val="7"/>
      </w:numPr>
      <w:spacing w:after="220"/>
      <w:jc w:val="both"/>
    </w:pPr>
    <w:rPr>
      <w:rFonts w:cs="Times New Roman"/>
      <w:szCs w:val="20"/>
    </w:rPr>
  </w:style>
  <w:style w:type="paragraph" w:customStyle="1" w:styleId="Schedule4">
    <w:name w:val="Schedule 4"/>
    <w:basedOn w:val="Normal"/>
    <w:uiPriority w:val="19"/>
    <w:qFormat/>
    <w:rsid w:val="00BE22DF"/>
    <w:pPr>
      <w:numPr>
        <w:ilvl w:val="4"/>
        <w:numId w:val="7"/>
      </w:numPr>
      <w:spacing w:after="220"/>
      <w:jc w:val="both"/>
    </w:pPr>
    <w:rPr>
      <w:rFonts w:cs="Times New Roman"/>
      <w:szCs w:val="20"/>
    </w:rPr>
  </w:style>
  <w:style w:type="paragraph" w:customStyle="1" w:styleId="Schedule5">
    <w:name w:val="Schedule 5"/>
    <w:basedOn w:val="Normal"/>
    <w:uiPriority w:val="19"/>
    <w:rsid w:val="00BE22DF"/>
    <w:pPr>
      <w:numPr>
        <w:ilvl w:val="5"/>
        <w:numId w:val="7"/>
      </w:numPr>
      <w:spacing w:after="220"/>
      <w:jc w:val="both"/>
    </w:pPr>
    <w:rPr>
      <w:rFonts w:cs="Times New Roman"/>
      <w:szCs w:val="20"/>
    </w:rPr>
  </w:style>
  <w:style w:type="paragraph" w:customStyle="1" w:styleId="Schedule6">
    <w:name w:val="Schedule 6"/>
    <w:basedOn w:val="Normal"/>
    <w:uiPriority w:val="19"/>
    <w:semiHidden/>
    <w:unhideWhenUsed/>
    <w:rsid w:val="00BE22DF"/>
    <w:pPr>
      <w:numPr>
        <w:ilvl w:val="6"/>
        <w:numId w:val="7"/>
      </w:numPr>
      <w:spacing w:after="220"/>
      <w:jc w:val="both"/>
    </w:pPr>
    <w:rPr>
      <w:rFonts w:cs="Times New Roman"/>
      <w:szCs w:val="20"/>
    </w:rPr>
  </w:style>
  <w:style w:type="paragraph" w:customStyle="1" w:styleId="Schedule7">
    <w:name w:val="Schedule 7"/>
    <w:basedOn w:val="Normal"/>
    <w:uiPriority w:val="19"/>
    <w:semiHidden/>
    <w:unhideWhenUsed/>
    <w:rsid w:val="00BE22DF"/>
    <w:pPr>
      <w:numPr>
        <w:ilvl w:val="7"/>
        <w:numId w:val="7"/>
      </w:numPr>
      <w:spacing w:after="220"/>
      <w:jc w:val="both"/>
    </w:pPr>
    <w:rPr>
      <w:rFonts w:cs="Times New Roman"/>
      <w:szCs w:val="20"/>
    </w:rPr>
  </w:style>
  <w:style w:type="paragraph" w:customStyle="1" w:styleId="Schedule8">
    <w:name w:val="Schedule 8"/>
    <w:basedOn w:val="Normal"/>
    <w:uiPriority w:val="19"/>
    <w:semiHidden/>
    <w:unhideWhenUsed/>
    <w:rsid w:val="00BE22DF"/>
    <w:pPr>
      <w:numPr>
        <w:ilvl w:val="8"/>
        <w:numId w:val="7"/>
      </w:numPr>
      <w:spacing w:after="220"/>
      <w:jc w:val="both"/>
    </w:pPr>
    <w:rPr>
      <w:rFonts w:cs="Times New Roman"/>
      <w:szCs w:val="20"/>
    </w:rPr>
  </w:style>
  <w:style w:type="paragraph" w:customStyle="1" w:styleId="Schedule">
    <w:name w:val="Schedule #"/>
    <w:basedOn w:val="Normal"/>
    <w:next w:val="ScheduleTitle"/>
    <w:uiPriority w:val="16"/>
    <w:qFormat/>
    <w:rsid w:val="00BE22DF"/>
    <w:pPr>
      <w:pageBreakBefore/>
      <w:numPr>
        <w:numId w:val="9"/>
      </w:numPr>
      <w:spacing w:after="220"/>
      <w:jc w:val="center"/>
      <w:outlineLvl w:val="0"/>
    </w:pPr>
    <w:rPr>
      <w:rFonts w:cs="Times New Roman"/>
      <w:szCs w:val="20"/>
    </w:rPr>
  </w:style>
  <w:style w:type="paragraph" w:customStyle="1" w:styleId="Num1">
    <w:name w:val="Num 1"/>
    <w:basedOn w:val="Normal"/>
    <w:next w:val="BodyText1"/>
    <w:uiPriority w:val="20"/>
    <w:qFormat/>
    <w:rsid w:val="00BE22DF"/>
    <w:pPr>
      <w:numPr>
        <w:numId w:val="8"/>
      </w:numPr>
      <w:spacing w:after="220"/>
      <w:jc w:val="both"/>
    </w:pPr>
    <w:rPr>
      <w:rFonts w:cs="Times New Roman"/>
      <w:szCs w:val="20"/>
    </w:rPr>
  </w:style>
  <w:style w:type="paragraph" w:customStyle="1" w:styleId="Num2">
    <w:name w:val="Num 2"/>
    <w:basedOn w:val="Normal"/>
    <w:next w:val="BodyText20"/>
    <w:uiPriority w:val="20"/>
    <w:qFormat/>
    <w:rsid w:val="00BE22DF"/>
    <w:pPr>
      <w:numPr>
        <w:ilvl w:val="1"/>
        <w:numId w:val="8"/>
      </w:numPr>
      <w:spacing w:after="220"/>
      <w:jc w:val="both"/>
    </w:pPr>
    <w:rPr>
      <w:rFonts w:cs="Times New Roman"/>
      <w:szCs w:val="20"/>
    </w:rPr>
  </w:style>
  <w:style w:type="paragraph" w:customStyle="1" w:styleId="Num3">
    <w:name w:val="Num 3"/>
    <w:basedOn w:val="Normal"/>
    <w:next w:val="BodyText30"/>
    <w:uiPriority w:val="20"/>
    <w:qFormat/>
    <w:rsid w:val="00BE22DF"/>
    <w:pPr>
      <w:numPr>
        <w:ilvl w:val="2"/>
        <w:numId w:val="8"/>
      </w:numPr>
      <w:spacing w:after="220"/>
      <w:jc w:val="both"/>
    </w:pPr>
    <w:rPr>
      <w:rFonts w:cs="Times New Roman"/>
      <w:szCs w:val="20"/>
    </w:rPr>
  </w:style>
  <w:style w:type="paragraph" w:customStyle="1" w:styleId="Num4">
    <w:name w:val="Num 4"/>
    <w:basedOn w:val="Normal"/>
    <w:next w:val="BodyText4"/>
    <w:uiPriority w:val="20"/>
    <w:semiHidden/>
    <w:unhideWhenUsed/>
    <w:rsid w:val="00BE22DF"/>
    <w:pPr>
      <w:numPr>
        <w:ilvl w:val="3"/>
        <w:numId w:val="8"/>
      </w:numPr>
      <w:spacing w:after="220"/>
      <w:jc w:val="both"/>
    </w:pPr>
    <w:rPr>
      <w:rFonts w:cs="Times New Roman"/>
      <w:szCs w:val="20"/>
    </w:rPr>
  </w:style>
  <w:style w:type="paragraph" w:customStyle="1" w:styleId="Num5">
    <w:name w:val="Num 5"/>
    <w:basedOn w:val="Normal"/>
    <w:next w:val="BodyText5"/>
    <w:uiPriority w:val="20"/>
    <w:semiHidden/>
    <w:unhideWhenUsed/>
    <w:rsid w:val="00BE22DF"/>
    <w:pPr>
      <w:numPr>
        <w:ilvl w:val="4"/>
        <w:numId w:val="8"/>
      </w:numPr>
      <w:spacing w:after="220"/>
      <w:jc w:val="both"/>
    </w:pPr>
    <w:rPr>
      <w:rFonts w:cs="Times New Roman"/>
      <w:szCs w:val="20"/>
    </w:rPr>
  </w:style>
  <w:style w:type="paragraph" w:customStyle="1" w:styleId="Num6">
    <w:name w:val="Num 6"/>
    <w:basedOn w:val="Normal"/>
    <w:next w:val="BodyText6"/>
    <w:uiPriority w:val="20"/>
    <w:semiHidden/>
    <w:unhideWhenUsed/>
    <w:rsid w:val="00BE22DF"/>
    <w:pPr>
      <w:numPr>
        <w:ilvl w:val="5"/>
        <w:numId w:val="8"/>
      </w:numPr>
      <w:spacing w:after="220"/>
      <w:jc w:val="both"/>
    </w:pPr>
    <w:rPr>
      <w:rFonts w:cs="Times New Roman"/>
      <w:szCs w:val="20"/>
    </w:rPr>
  </w:style>
  <w:style w:type="paragraph" w:customStyle="1" w:styleId="Num7">
    <w:name w:val="Num 7"/>
    <w:basedOn w:val="Normal"/>
    <w:next w:val="BodyText7"/>
    <w:uiPriority w:val="20"/>
    <w:semiHidden/>
    <w:unhideWhenUsed/>
    <w:rsid w:val="00BE22DF"/>
    <w:pPr>
      <w:numPr>
        <w:ilvl w:val="6"/>
        <w:numId w:val="8"/>
      </w:numPr>
      <w:spacing w:after="220"/>
      <w:jc w:val="both"/>
    </w:pPr>
    <w:rPr>
      <w:rFonts w:cs="Times New Roman"/>
      <w:szCs w:val="20"/>
    </w:rPr>
  </w:style>
  <w:style w:type="paragraph" w:customStyle="1" w:styleId="Num8">
    <w:name w:val="Num 8"/>
    <w:basedOn w:val="Normal"/>
    <w:next w:val="Normal"/>
    <w:uiPriority w:val="20"/>
    <w:semiHidden/>
    <w:unhideWhenUsed/>
    <w:rsid w:val="00BE22DF"/>
    <w:pPr>
      <w:numPr>
        <w:ilvl w:val="7"/>
        <w:numId w:val="8"/>
      </w:numPr>
      <w:spacing w:after="220"/>
      <w:jc w:val="both"/>
    </w:pPr>
    <w:rPr>
      <w:rFonts w:cs="Times New Roman"/>
      <w:szCs w:val="20"/>
    </w:rPr>
  </w:style>
  <w:style w:type="paragraph" w:customStyle="1" w:styleId="Num9">
    <w:name w:val="Num 9"/>
    <w:basedOn w:val="Normal"/>
    <w:next w:val="Normal"/>
    <w:uiPriority w:val="20"/>
    <w:semiHidden/>
    <w:unhideWhenUsed/>
    <w:rsid w:val="00BE22DF"/>
    <w:pPr>
      <w:numPr>
        <w:ilvl w:val="8"/>
        <w:numId w:val="8"/>
      </w:numPr>
      <w:spacing w:after="220"/>
      <w:jc w:val="both"/>
    </w:pPr>
    <w:rPr>
      <w:rFonts w:cs="Times New Roman"/>
      <w:szCs w:val="20"/>
    </w:rPr>
  </w:style>
  <w:style w:type="paragraph" w:customStyle="1" w:styleId="SchedulePart">
    <w:name w:val="Schedule Part"/>
    <w:basedOn w:val="Schedule"/>
    <w:next w:val="Schedule1"/>
    <w:uiPriority w:val="18"/>
    <w:qFormat/>
    <w:rsid w:val="00BE22DF"/>
    <w:pPr>
      <w:pageBreakBefore w:val="0"/>
      <w:numPr>
        <w:ilvl w:val="1"/>
      </w:numPr>
      <w:outlineLvl w:val="9"/>
    </w:pPr>
    <w:rPr>
      <w:b/>
    </w:rPr>
  </w:style>
  <w:style w:type="paragraph" w:customStyle="1" w:styleId="Schedule1">
    <w:name w:val="Schedule 1"/>
    <w:basedOn w:val="Normal"/>
    <w:next w:val="Schedule2"/>
    <w:uiPriority w:val="19"/>
    <w:rsid w:val="00FE5092"/>
    <w:pPr>
      <w:numPr>
        <w:ilvl w:val="1"/>
        <w:numId w:val="7"/>
      </w:numPr>
      <w:spacing w:after="220"/>
      <w:jc w:val="both"/>
    </w:pPr>
  </w:style>
  <w:style w:type="paragraph" w:customStyle="1" w:styleId="Exhibit">
    <w:name w:val="Exhibit #"/>
    <w:basedOn w:val="Normal"/>
    <w:next w:val="ScheduleTitle"/>
    <w:uiPriority w:val="20"/>
    <w:qFormat/>
    <w:rsid w:val="00BE22DF"/>
    <w:pPr>
      <w:pageBreakBefore/>
      <w:numPr>
        <w:numId w:val="10"/>
      </w:numPr>
      <w:spacing w:after="220"/>
      <w:jc w:val="center"/>
      <w:outlineLvl w:val="0"/>
    </w:pPr>
    <w:rPr>
      <w:rFonts w:cs="Times New Roman"/>
      <w:szCs w:val="20"/>
    </w:rPr>
  </w:style>
  <w:style w:type="paragraph" w:customStyle="1" w:styleId="NormalOCAshurst">
    <w:name w:val="NormalOCAshurst"/>
    <w:link w:val="NormalOCAshurstChar"/>
    <w:qFormat/>
    <w:rsid w:val="00B9640A"/>
    <w:pPr>
      <w:suppressAutoHyphens/>
      <w:spacing w:line="240" w:lineRule="auto"/>
      <w:jc w:val="both"/>
    </w:pPr>
    <w:rPr>
      <w:rFonts w:eastAsiaTheme="minorEastAsia" w:cs="Times New Roman"/>
      <w:sz w:val="20"/>
      <w:szCs w:val="20"/>
      <w:lang w:val="en-GB" w:eastAsia="en-GB"/>
    </w:rPr>
  </w:style>
  <w:style w:type="character" w:customStyle="1" w:styleId="NormalOCAshurstChar">
    <w:name w:val="NormalOCAshurst Char"/>
    <w:basedOn w:val="DefaultParagraphFont"/>
    <w:link w:val="NormalOCAshurst"/>
    <w:rsid w:val="00B9640A"/>
    <w:rPr>
      <w:rFonts w:eastAsiaTheme="minorEastAsia" w:cs="Times New Roman"/>
      <w:sz w:val="20"/>
      <w:szCs w:val="20"/>
      <w:lang w:val="en-GB" w:eastAsia="en-GB"/>
    </w:rPr>
  </w:style>
  <w:style w:type="paragraph" w:customStyle="1" w:styleId="MainHeadingOCAshurst">
    <w:name w:val="MainHeadingOCAshurst"/>
    <w:basedOn w:val="NormalOCAshurst"/>
    <w:next w:val="NormalOCAshurst"/>
    <w:uiPriority w:val="26"/>
    <w:rsid w:val="00B9489D"/>
    <w:pPr>
      <w:keepNext/>
      <w:jc w:val="center"/>
    </w:pPr>
    <w:rPr>
      <w:b/>
      <w:caps/>
    </w:rPr>
  </w:style>
  <w:style w:type="paragraph" w:customStyle="1" w:styleId="AltH5OCAshurst">
    <w:name w:val="AltH5OCAshurst"/>
    <w:basedOn w:val="NormalOCAshurst"/>
    <w:uiPriority w:val="40"/>
    <w:rsid w:val="00FF4BD4"/>
    <w:pPr>
      <w:numPr>
        <w:ilvl w:val="4"/>
        <w:numId w:val="11"/>
      </w:numPr>
      <w:outlineLvl w:val="4"/>
    </w:pPr>
  </w:style>
  <w:style w:type="paragraph" w:customStyle="1" w:styleId="AltH1OCAshurst">
    <w:name w:val="AltH1OCAshurst"/>
    <w:basedOn w:val="NormalOCAshurst"/>
    <w:uiPriority w:val="40"/>
    <w:rsid w:val="00FF4BD4"/>
    <w:pPr>
      <w:numPr>
        <w:numId w:val="11"/>
      </w:numPr>
      <w:outlineLvl w:val="0"/>
    </w:pPr>
  </w:style>
  <w:style w:type="paragraph" w:customStyle="1" w:styleId="AltH2OCAshurst">
    <w:name w:val="AltH2OCAshurst"/>
    <w:basedOn w:val="NormalOCAshurst"/>
    <w:uiPriority w:val="40"/>
    <w:rsid w:val="00FF4BD4"/>
    <w:pPr>
      <w:numPr>
        <w:ilvl w:val="1"/>
        <w:numId w:val="11"/>
      </w:numPr>
      <w:outlineLvl w:val="1"/>
    </w:pPr>
  </w:style>
  <w:style w:type="paragraph" w:customStyle="1" w:styleId="AltH3OCAshurst">
    <w:name w:val="AltH3OCAshurst"/>
    <w:basedOn w:val="NormalOCAshurst"/>
    <w:uiPriority w:val="40"/>
    <w:rsid w:val="00FF4BD4"/>
    <w:pPr>
      <w:numPr>
        <w:ilvl w:val="2"/>
        <w:numId w:val="11"/>
      </w:numPr>
      <w:outlineLvl w:val="2"/>
    </w:pPr>
  </w:style>
  <w:style w:type="paragraph" w:customStyle="1" w:styleId="AltH4OCAshurst">
    <w:name w:val="AltH4OCAshurst"/>
    <w:basedOn w:val="NormalOCAshurst"/>
    <w:uiPriority w:val="40"/>
    <w:rsid w:val="00FF4BD4"/>
    <w:pPr>
      <w:numPr>
        <w:ilvl w:val="3"/>
        <w:numId w:val="11"/>
      </w:numPr>
      <w:outlineLvl w:val="3"/>
    </w:pPr>
  </w:style>
  <w:style w:type="paragraph" w:customStyle="1" w:styleId="AltH6OCAshurst">
    <w:name w:val="AltH6OCAshurst"/>
    <w:basedOn w:val="NormalOCAshurst"/>
    <w:uiPriority w:val="40"/>
    <w:rsid w:val="00FF4BD4"/>
    <w:pPr>
      <w:numPr>
        <w:ilvl w:val="5"/>
        <w:numId w:val="11"/>
      </w:numPr>
      <w:outlineLvl w:val="5"/>
    </w:pPr>
  </w:style>
  <w:style w:type="paragraph" w:customStyle="1" w:styleId="AltH7OCAshurst">
    <w:name w:val="AltH7OCAshurst"/>
    <w:basedOn w:val="NormalOCAshurst"/>
    <w:uiPriority w:val="40"/>
    <w:rsid w:val="00FF4BD4"/>
    <w:pPr>
      <w:numPr>
        <w:ilvl w:val="6"/>
        <w:numId w:val="11"/>
      </w:numPr>
      <w:outlineLvl w:val="6"/>
    </w:pPr>
  </w:style>
  <w:style w:type="paragraph" w:customStyle="1" w:styleId="AltH8OCAshurst">
    <w:name w:val="AltH8OCAshurst"/>
    <w:basedOn w:val="NormalOCAshurst"/>
    <w:uiPriority w:val="40"/>
    <w:rsid w:val="00FF4BD4"/>
    <w:pPr>
      <w:numPr>
        <w:ilvl w:val="7"/>
        <w:numId w:val="11"/>
      </w:numPr>
      <w:outlineLvl w:val="7"/>
    </w:pPr>
  </w:style>
  <w:style w:type="paragraph" w:customStyle="1" w:styleId="Default">
    <w:name w:val="Default"/>
    <w:rsid w:val="00E34C14"/>
    <w:pPr>
      <w:autoSpaceDE w:val="0"/>
      <w:autoSpaceDN w:val="0"/>
      <w:adjustRightInd w:val="0"/>
      <w:spacing w:after="0" w:line="240" w:lineRule="auto"/>
    </w:pPr>
    <w:rPr>
      <w:rFonts w:ascii="Calibri" w:eastAsiaTheme="minorHAnsi" w:hAnsi="Calibri" w:cs="Calibri"/>
      <w:color w:val="000000"/>
      <w:sz w:val="24"/>
      <w:szCs w:val="24"/>
      <w:lang w:val="en-GB"/>
    </w:rPr>
  </w:style>
  <w:style w:type="paragraph" w:customStyle="1" w:styleId="gv">
    <w:name w:val="gv"/>
    <w:basedOn w:val="Normal"/>
    <w:rsid w:val="00790F94"/>
    <w:pPr>
      <w:spacing w:before="100" w:beforeAutospacing="1" w:after="100" w:afterAutospacing="1"/>
    </w:pPr>
    <w:rPr>
      <w:rFonts w:eastAsia="Calibri" w:cs="Times New Roman"/>
      <w:sz w:val="24"/>
      <w:szCs w:val="24"/>
      <w:lang w:eastAsia="en-GB"/>
    </w:rPr>
  </w:style>
  <w:style w:type="paragraph" w:customStyle="1" w:styleId="ck">
    <w:name w:val="ck"/>
    <w:basedOn w:val="Normal"/>
    <w:rsid w:val="00763734"/>
    <w:pPr>
      <w:spacing w:before="100" w:beforeAutospacing="1" w:after="100" w:afterAutospacing="1"/>
    </w:pPr>
    <w:rPr>
      <w:rFonts w:cs="Times New Roman"/>
      <w:sz w:val="24"/>
      <w:szCs w:val="24"/>
      <w:lang w:eastAsia="en-GB"/>
    </w:rPr>
  </w:style>
  <w:style w:type="character" w:customStyle="1" w:styleId="bp">
    <w:name w:val="bp"/>
    <w:basedOn w:val="DefaultParagraphFont"/>
    <w:rsid w:val="00763734"/>
  </w:style>
  <w:style w:type="paragraph" w:customStyle="1" w:styleId="cl">
    <w:name w:val="cl"/>
    <w:basedOn w:val="Normal"/>
    <w:rsid w:val="00763734"/>
    <w:pPr>
      <w:spacing w:before="100" w:beforeAutospacing="1" w:after="100" w:afterAutospacing="1"/>
    </w:pPr>
    <w:rPr>
      <w:rFonts w:cs="Times New Roman"/>
      <w:sz w:val="24"/>
      <w:szCs w:val="24"/>
      <w:lang w:eastAsia="en-GB"/>
    </w:rPr>
  </w:style>
  <w:style w:type="character" w:customStyle="1" w:styleId="bu">
    <w:name w:val="bu"/>
    <w:basedOn w:val="DefaultParagraphFont"/>
    <w:rsid w:val="00763734"/>
  </w:style>
  <w:style w:type="paragraph" w:customStyle="1" w:styleId="cm">
    <w:name w:val="cm"/>
    <w:basedOn w:val="Normal"/>
    <w:rsid w:val="00763734"/>
    <w:pPr>
      <w:spacing w:before="100" w:beforeAutospacing="1" w:after="100" w:afterAutospacing="1"/>
    </w:pPr>
    <w:rPr>
      <w:rFonts w:cs="Times New Roman"/>
      <w:sz w:val="24"/>
      <w:szCs w:val="24"/>
      <w:lang w:eastAsia="en-GB"/>
    </w:rPr>
  </w:style>
  <w:style w:type="paragraph" w:customStyle="1" w:styleId="Body">
    <w:name w:val="Body"/>
    <w:basedOn w:val="Normal"/>
    <w:link w:val="BodyChar"/>
    <w:rsid w:val="00F02888"/>
    <w:pPr>
      <w:adjustRightInd w:val="0"/>
      <w:spacing w:after="220" w:line="360" w:lineRule="auto"/>
      <w:jc w:val="both"/>
    </w:pPr>
    <w:rPr>
      <w:rFonts w:ascii="Arial" w:eastAsia="Arial" w:hAnsi="Arial"/>
      <w:sz w:val="20"/>
      <w:szCs w:val="20"/>
      <w:lang w:eastAsia="en-GB"/>
    </w:rPr>
  </w:style>
  <w:style w:type="paragraph" w:customStyle="1" w:styleId="Level1">
    <w:name w:val="Level 1"/>
    <w:basedOn w:val="Normal"/>
    <w:uiPriority w:val="99"/>
    <w:rsid w:val="00F02888"/>
    <w:pPr>
      <w:numPr>
        <w:numId w:val="12"/>
      </w:numPr>
      <w:adjustRightInd w:val="0"/>
      <w:spacing w:after="220" w:line="360" w:lineRule="auto"/>
      <w:jc w:val="both"/>
      <w:outlineLvl w:val="0"/>
    </w:pPr>
    <w:rPr>
      <w:rFonts w:ascii="Arial" w:eastAsia="Arial" w:hAnsi="Arial"/>
      <w:sz w:val="20"/>
      <w:szCs w:val="20"/>
      <w:lang w:eastAsia="en-GB"/>
    </w:rPr>
  </w:style>
  <w:style w:type="paragraph" w:customStyle="1" w:styleId="Level2">
    <w:name w:val="Level 2"/>
    <w:basedOn w:val="Normal"/>
    <w:uiPriority w:val="99"/>
    <w:rsid w:val="00F02888"/>
    <w:pPr>
      <w:numPr>
        <w:ilvl w:val="1"/>
        <w:numId w:val="12"/>
      </w:numPr>
      <w:adjustRightInd w:val="0"/>
      <w:spacing w:after="220" w:line="360" w:lineRule="auto"/>
      <w:jc w:val="both"/>
      <w:outlineLvl w:val="1"/>
    </w:pPr>
    <w:rPr>
      <w:rFonts w:ascii="Arial" w:eastAsia="Arial" w:hAnsi="Arial"/>
      <w:sz w:val="20"/>
      <w:szCs w:val="20"/>
      <w:lang w:eastAsia="en-GB"/>
    </w:rPr>
  </w:style>
  <w:style w:type="paragraph" w:customStyle="1" w:styleId="Level3">
    <w:name w:val="Level 3"/>
    <w:basedOn w:val="Normal"/>
    <w:uiPriority w:val="99"/>
    <w:rsid w:val="00F02888"/>
    <w:pPr>
      <w:numPr>
        <w:ilvl w:val="2"/>
        <w:numId w:val="12"/>
      </w:numPr>
      <w:adjustRightInd w:val="0"/>
      <w:spacing w:after="220" w:line="360" w:lineRule="auto"/>
      <w:jc w:val="both"/>
      <w:outlineLvl w:val="2"/>
    </w:pPr>
    <w:rPr>
      <w:rFonts w:ascii="Arial" w:eastAsia="Arial" w:hAnsi="Arial"/>
      <w:sz w:val="20"/>
      <w:szCs w:val="20"/>
      <w:lang w:eastAsia="en-GB"/>
    </w:rPr>
  </w:style>
  <w:style w:type="paragraph" w:customStyle="1" w:styleId="Level4">
    <w:name w:val="Level 4"/>
    <w:basedOn w:val="Normal"/>
    <w:uiPriority w:val="99"/>
    <w:rsid w:val="00F02888"/>
    <w:pPr>
      <w:numPr>
        <w:ilvl w:val="3"/>
        <w:numId w:val="12"/>
      </w:numPr>
      <w:adjustRightInd w:val="0"/>
      <w:spacing w:after="220" w:line="360" w:lineRule="auto"/>
      <w:jc w:val="both"/>
      <w:outlineLvl w:val="3"/>
    </w:pPr>
    <w:rPr>
      <w:rFonts w:ascii="Arial" w:eastAsia="Arial" w:hAnsi="Arial"/>
      <w:sz w:val="20"/>
      <w:szCs w:val="20"/>
      <w:lang w:eastAsia="en-GB"/>
    </w:rPr>
  </w:style>
  <w:style w:type="paragraph" w:customStyle="1" w:styleId="Level5">
    <w:name w:val="Level 5"/>
    <w:basedOn w:val="Normal"/>
    <w:uiPriority w:val="99"/>
    <w:rsid w:val="00F02888"/>
    <w:pPr>
      <w:numPr>
        <w:ilvl w:val="4"/>
        <w:numId w:val="12"/>
      </w:numPr>
      <w:adjustRightInd w:val="0"/>
      <w:spacing w:after="220" w:line="360" w:lineRule="auto"/>
      <w:jc w:val="both"/>
      <w:outlineLvl w:val="4"/>
    </w:pPr>
    <w:rPr>
      <w:rFonts w:ascii="Arial" w:eastAsia="Arial" w:hAnsi="Arial"/>
      <w:sz w:val="20"/>
      <w:szCs w:val="20"/>
      <w:lang w:eastAsia="en-GB"/>
    </w:rPr>
  </w:style>
  <w:style w:type="paragraph" w:customStyle="1" w:styleId="Level6">
    <w:name w:val="Level 6"/>
    <w:basedOn w:val="Normal"/>
    <w:uiPriority w:val="99"/>
    <w:rsid w:val="00F02888"/>
    <w:pPr>
      <w:numPr>
        <w:ilvl w:val="5"/>
        <w:numId w:val="12"/>
      </w:numPr>
      <w:adjustRightInd w:val="0"/>
      <w:spacing w:after="220" w:line="360" w:lineRule="auto"/>
      <w:jc w:val="both"/>
      <w:outlineLvl w:val="5"/>
    </w:pPr>
    <w:rPr>
      <w:rFonts w:ascii="Arial" w:eastAsia="Arial" w:hAnsi="Arial"/>
      <w:sz w:val="20"/>
      <w:szCs w:val="20"/>
      <w:lang w:eastAsia="en-GB"/>
    </w:rPr>
  </w:style>
  <w:style w:type="paragraph" w:customStyle="1" w:styleId="Level7">
    <w:name w:val="Level 7"/>
    <w:basedOn w:val="Normal"/>
    <w:uiPriority w:val="99"/>
    <w:rsid w:val="00F02888"/>
    <w:pPr>
      <w:numPr>
        <w:ilvl w:val="6"/>
        <w:numId w:val="12"/>
      </w:numPr>
      <w:adjustRightInd w:val="0"/>
      <w:spacing w:after="220" w:line="360" w:lineRule="auto"/>
      <w:jc w:val="both"/>
      <w:outlineLvl w:val="6"/>
    </w:pPr>
    <w:rPr>
      <w:rFonts w:ascii="Arial" w:eastAsia="Arial" w:hAnsi="Arial"/>
      <w:sz w:val="20"/>
      <w:szCs w:val="20"/>
      <w:lang w:eastAsia="en-GB"/>
    </w:rPr>
  </w:style>
  <w:style w:type="paragraph" w:customStyle="1" w:styleId="Body1">
    <w:name w:val="Body 1"/>
    <w:basedOn w:val="Normal"/>
    <w:link w:val="Body1Char"/>
    <w:qFormat/>
    <w:rsid w:val="00E9557A"/>
    <w:pPr>
      <w:spacing w:after="140" w:line="290" w:lineRule="auto"/>
      <w:ind w:left="567"/>
      <w:jc w:val="both"/>
    </w:pPr>
    <w:rPr>
      <w:rFonts w:ascii="Arial" w:hAnsi="Arial" w:cs="Times New Roman"/>
      <w:kern w:val="20"/>
      <w:sz w:val="20"/>
      <w:szCs w:val="24"/>
    </w:rPr>
  </w:style>
  <w:style w:type="paragraph" w:customStyle="1" w:styleId="SubHead">
    <w:name w:val="SubHead"/>
    <w:basedOn w:val="Normal"/>
    <w:next w:val="Body"/>
    <w:link w:val="SubHeadChar"/>
    <w:rsid w:val="00E9557A"/>
    <w:pPr>
      <w:keepNext/>
      <w:spacing w:before="120" w:after="60" w:line="290" w:lineRule="auto"/>
      <w:jc w:val="both"/>
    </w:pPr>
    <w:rPr>
      <w:rFonts w:ascii="Arial" w:hAnsi="Arial" w:cs="Times New Roman"/>
      <w:b/>
      <w:kern w:val="21"/>
      <w:sz w:val="21"/>
      <w:szCs w:val="24"/>
    </w:rPr>
  </w:style>
  <w:style w:type="character" w:customStyle="1" w:styleId="BodyChar">
    <w:name w:val="Body Char"/>
    <w:basedOn w:val="DefaultParagraphFont"/>
    <w:link w:val="Body"/>
    <w:rsid w:val="00E9557A"/>
    <w:rPr>
      <w:rFonts w:ascii="Arial" w:eastAsia="Arial" w:hAnsi="Arial" w:cs="Arial"/>
      <w:sz w:val="20"/>
      <w:szCs w:val="20"/>
      <w:lang w:val="en-GB" w:eastAsia="en-GB"/>
    </w:rPr>
  </w:style>
  <w:style w:type="character" w:customStyle="1" w:styleId="Body1Char">
    <w:name w:val="Body 1 Char"/>
    <w:basedOn w:val="DefaultParagraphFont"/>
    <w:link w:val="Body1"/>
    <w:rsid w:val="00E9557A"/>
    <w:rPr>
      <w:rFonts w:ascii="Arial" w:hAnsi="Arial" w:cs="Times New Roman"/>
      <w:kern w:val="20"/>
      <w:sz w:val="20"/>
      <w:szCs w:val="24"/>
      <w:lang w:val="en-GB"/>
    </w:rPr>
  </w:style>
  <w:style w:type="character" w:customStyle="1" w:styleId="SubHeadChar">
    <w:name w:val="SubHead Char"/>
    <w:basedOn w:val="DefaultParagraphFont"/>
    <w:link w:val="SubHead"/>
    <w:rsid w:val="00E9557A"/>
    <w:rPr>
      <w:rFonts w:ascii="Arial" w:hAnsi="Arial" w:cs="Times New Roman"/>
      <w:b/>
      <w:kern w:val="21"/>
      <w:sz w:val="21"/>
      <w:szCs w:val="24"/>
      <w:lang w:val="en-GB"/>
    </w:rPr>
  </w:style>
  <w:style w:type="paragraph" w:customStyle="1" w:styleId="TSBodyText">
    <w:name w:val="TS Body Text"/>
    <w:rsid w:val="00330AE6"/>
    <w:pPr>
      <w:spacing w:after="220" w:line="288" w:lineRule="auto"/>
      <w:jc w:val="both"/>
    </w:pPr>
    <w:rPr>
      <w:rFonts w:ascii="Calibri" w:eastAsiaTheme="minorHAnsi" w:hAnsi="Calibri"/>
      <w:lang w:val="en-GB"/>
    </w:rPr>
  </w:style>
  <w:style w:type="paragraph" w:customStyle="1" w:styleId="TSLv1List1">
    <w:name w:val="TS Lv1 List 1"/>
    <w:rsid w:val="008627E4"/>
    <w:pPr>
      <w:numPr>
        <w:numId w:val="13"/>
      </w:numPr>
      <w:spacing w:after="220" w:line="288" w:lineRule="auto"/>
      <w:jc w:val="both"/>
    </w:pPr>
    <w:rPr>
      <w:rFonts w:ascii="Calibri" w:eastAsiaTheme="minorHAnsi" w:hAnsi="Calibri"/>
      <w:lang w:val="en-GB"/>
    </w:rPr>
  </w:style>
  <w:style w:type="paragraph" w:customStyle="1" w:styleId="CellHead">
    <w:name w:val="CellHead"/>
    <w:basedOn w:val="Normal"/>
    <w:rsid w:val="00A35320"/>
    <w:pPr>
      <w:keepNext/>
      <w:spacing w:before="60" w:after="60" w:line="259" w:lineRule="auto"/>
    </w:pPr>
    <w:rPr>
      <w:rFonts w:ascii="Arial" w:hAnsi="Arial" w:cs="Times New Roman"/>
      <w:b/>
      <w:kern w:val="20"/>
      <w:sz w:val="20"/>
      <w:szCs w:val="24"/>
    </w:rPr>
  </w:style>
  <w:style w:type="table" w:customStyle="1" w:styleId="TableGrid10">
    <w:name w:val="Table Grid1"/>
    <w:basedOn w:val="TableNormal"/>
    <w:next w:val="TableGrid"/>
    <w:uiPriority w:val="59"/>
    <w:rsid w:val="00FC4FFD"/>
    <w:pPr>
      <w:spacing w:after="0" w:line="240" w:lineRule="auto"/>
      <w:jc w:val="both"/>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ODocTxt">
    <w:name w:val="AODocTxt"/>
    <w:basedOn w:val="Normal"/>
    <w:link w:val="AODocTxtChar"/>
    <w:qFormat/>
    <w:rsid w:val="006E0DF4"/>
    <w:pPr>
      <w:spacing w:before="240" w:line="260" w:lineRule="atLeast"/>
      <w:jc w:val="both"/>
    </w:pPr>
    <w:rPr>
      <w:rFonts w:eastAsiaTheme="minorHAnsi" w:cs="Times New Roman"/>
    </w:rPr>
  </w:style>
  <w:style w:type="paragraph" w:customStyle="1" w:styleId="AOA">
    <w:name w:val="AO(A)"/>
    <w:basedOn w:val="Normal"/>
    <w:next w:val="AODocTxt"/>
    <w:rsid w:val="006E0DF4"/>
    <w:pPr>
      <w:tabs>
        <w:tab w:val="num" w:pos="709"/>
      </w:tabs>
      <w:spacing w:before="240" w:line="260" w:lineRule="atLeast"/>
      <w:ind w:left="709" w:hanging="709"/>
      <w:jc w:val="both"/>
    </w:pPr>
    <w:rPr>
      <w:rFonts w:eastAsiaTheme="minorHAnsi" w:cs="Times New Roman"/>
    </w:rPr>
  </w:style>
  <w:style w:type="paragraph" w:customStyle="1" w:styleId="AOBullet">
    <w:name w:val="AOBullet"/>
    <w:basedOn w:val="Normal"/>
    <w:rsid w:val="006E0DF4"/>
    <w:pPr>
      <w:tabs>
        <w:tab w:val="num" w:pos="720"/>
      </w:tabs>
      <w:spacing w:before="240" w:line="260" w:lineRule="atLeast"/>
      <w:ind w:left="720" w:hanging="720"/>
      <w:jc w:val="both"/>
    </w:pPr>
    <w:rPr>
      <w:rFonts w:eastAsiaTheme="minorHAnsi" w:cs="Times New Roman"/>
    </w:rPr>
  </w:style>
  <w:style w:type="paragraph" w:styleId="Revision">
    <w:name w:val="Revision"/>
    <w:hidden/>
    <w:uiPriority w:val="99"/>
    <w:semiHidden/>
    <w:rsid w:val="000C757C"/>
    <w:pPr>
      <w:spacing w:after="0" w:line="240" w:lineRule="auto"/>
    </w:pPr>
    <w:rPr>
      <w:rFonts w:ascii="Times New Roman" w:hAnsi="Times New Roman" w:cs="Arial"/>
      <w:lang w:val="en-GB"/>
    </w:rPr>
  </w:style>
  <w:style w:type="character" w:customStyle="1" w:styleId="BoldText">
    <w:name w:val="BoldText"/>
    <w:basedOn w:val="DefaultParagraphFont"/>
    <w:uiPriority w:val="15"/>
    <w:qFormat/>
    <w:rsid w:val="00684F09"/>
    <w:rPr>
      <w:b/>
    </w:rPr>
  </w:style>
  <w:style w:type="character" w:customStyle="1" w:styleId="ItalicText">
    <w:name w:val="ItalicText"/>
    <w:basedOn w:val="DefaultParagraphFont"/>
    <w:uiPriority w:val="15"/>
    <w:qFormat/>
    <w:rsid w:val="00AC1DA4"/>
    <w:rPr>
      <w:i/>
    </w:rPr>
  </w:style>
  <w:style w:type="character" w:customStyle="1" w:styleId="BoldItalicText">
    <w:name w:val="BoldItalicText"/>
    <w:basedOn w:val="DefaultParagraphFont"/>
    <w:uiPriority w:val="17"/>
    <w:semiHidden/>
    <w:rsid w:val="00AC1DA4"/>
    <w:rPr>
      <w:b/>
      <w:i/>
    </w:rPr>
  </w:style>
  <w:style w:type="table" w:customStyle="1" w:styleId="TableGrid20">
    <w:name w:val="Table Grid2"/>
    <w:basedOn w:val="TableNormal"/>
    <w:next w:val="TableGrid"/>
    <w:uiPriority w:val="59"/>
    <w:rsid w:val="00677593"/>
    <w:pPr>
      <w:widowControl w:val="0"/>
      <w:autoSpaceDE w:val="0"/>
      <w:autoSpaceDN w:val="0"/>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718B8"/>
    <w:rPr>
      <w:color w:val="605E5C"/>
      <w:shd w:val="clear" w:color="auto" w:fill="E1DFDD"/>
    </w:rPr>
  </w:style>
  <w:style w:type="character" w:customStyle="1" w:styleId="AODocTxtChar">
    <w:name w:val="AODocTxt Char"/>
    <w:basedOn w:val="DefaultParagraphFont"/>
    <w:link w:val="AODocTxt"/>
    <w:rsid w:val="008956AF"/>
    <w:rPr>
      <w:rFonts w:ascii="Times New Roman" w:eastAsiaTheme="minorHAnsi" w:hAnsi="Times New Roman" w:cs="Times New Roman"/>
      <w:lang w:val="en-GB"/>
    </w:rPr>
  </w:style>
  <w:style w:type="paragraph" w:customStyle="1" w:styleId="gj">
    <w:name w:val="gj"/>
    <w:basedOn w:val="Normal"/>
    <w:rsid w:val="008956AF"/>
    <w:pPr>
      <w:spacing w:before="100" w:beforeAutospacing="1" w:after="100" w:afterAutospacing="1"/>
    </w:pPr>
    <w:rPr>
      <w:rFonts w:cs="Times New Roman"/>
      <w:sz w:val="24"/>
      <w:szCs w:val="24"/>
      <w:lang w:eastAsia="en-GB"/>
    </w:rPr>
  </w:style>
  <w:style w:type="character" w:customStyle="1" w:styleId="ek">
    <w:name w:val="ek"/>
    <w:basedOn w:val="DefaultParagraphFont"/>
    <w:rsid w:val="008956AF"/>
  </w:style>
  <w:style w:type="character" w:customStyle="1" w:styleId="em">
    <w:name w:val="em"/>
    <w:basedOn w:val="DefaultParagraphFont"/>
    <w:rsid w:val="008956AF"/>
  </w:style>
  <w:style w:type="paragraph" w:customStyle="1" w:styleId="gl">
    <w:name w:val="gl"/>
    <w:basedOn w:val="Normal"/>
    <w:rsid w:val="008956AF"/>
    <w:pPr>
      <w:spacing w:before="100" w:beforeAutospacing="1" w:after="100" w:afterAutospacing="1"/>
    </w:pPr>
    <w:rPr>
      <w:rFonts w:cs="Times New Roman"/>
      <w:sz w:val="24"/>
      <w:szCs w:val="24"/>
      <w:lang w:eastAsia="en-GB"/>
    </w:rPr>
  </w:style>
  <w:style w:type="character" w:customStyle="1" w:styleId="fl">
    <w:name w:val="fl"/>
    <w:basedOn w:val="DefaultParagraphFont"/>
    <w:rsid w:val="008956AF"/>
  </w:style>
  <w:style w:type="paragraph" w:customStyle="1" w:styleId="gk">
    <w:name w:val="gk"/>
    <w:basedOn w:val="Normal"/>
    <w:rsid w:val="008956AF"/>
    <w:pPr>
      <w:spacing w:before="100" w:beforeAutospacing="1" w:after="100" w:afterAutospacing="1"/>
    </w:pPr>
    <w:rPr>
      <w:rFonts w:cs="Times New Roman"/>
      <w:sz w:val="24"/>
      <w:szCs w:val="24"/>
      <w:lang w:eastAsia="en-GB"/>
    </w:rPr>
  </w:style>
  <w:style w:type="character" w:customStyle="1" w:styleId="fu">
    <w:name w:val="fu"/>
    <w:basedOn w:val="DefaultParagraphFont"/>
    <w:rsid w:val="008956AF"/>
  </w:style>
  <w:style w:type="character" w:customStyle="1" w:styleId="eg">
    <w:name w:val="eg"/>
    <w:basedOn w:val="DefaultParagraphFont"/>
    <w:rsid w:val="008956AF"/>
  </w:style>
  <w:style w:type="character" w:customStyle="1" w:styleId="ef">
    <w:name w:val="ef"/>
    <w:basedOn w:val="DefaultParagraphFont"/>
    <w:rsid w:val="008956AF"/>
  </w:style>
  <w:style w:type="character" w:customStyle="1" w:styleId="ee">
    <w:name w:val="ee"/>
    <w:basedOn w:val="DefaultParagraphFont"/>
    <w:rsid w:val="008956AF"/>
  </w:style>
  <w:style w:type="character" w:customStyle="1" w:styleId="fr">
    <w:name w:val="fr"/>
    <w:basedOn w:val="DefaultParagraphFont"/>
    <w:rsid w:val="008956AF"/>
  </w:style>
  <w:style w:type="character" w:customStyle="1" w:styleId="ed">
    <w:name w:val="ed"/>
    <w:basedOn w:val="DefaultParagraphFont"/>
    <w:rsid w:val="008956AF"/>
  </w:style>
  <w:style w:type="character" w:customStyle="1" w:styleId="ec">
    <w:name w:val="ec"/>
    <w:basedOn w:val="DefaultParagraphFont"/>
    <w:rsid w:val="008956AF"/>
  </w:style>
  <w:style w:type="paragraph" w:customStyle="1" w:styleId="gm">
    <w:name w:val="gm"/>
    <w:basedOn w:val="Normal"/>
    <w:rsid w:val="008956AF"/>
    <w:pPr>
      <w:spacing w:before="100" w:beforeAutospacing="1" w:after="100" w:afterAutospacing="1"/>
    </w:pPr>
    <w:rPr>
      <w:rFonts w:cs="Times New Roman"/>
      <w:sz w:val="24"/>
      <w:szCs w:val="24"/>
      <w:lang w:eastAsia="en-GB"/>
    </w:rPr>
  </w:style>
  <w:style w:type="character" w:customStyle="1" w:styleId="eb">
    <w:name w:val="eb"/>
    <w:basedOn w:val="DefaultParagraphFont"/>
    <w:rsid w:val="008956AF"/>
  </w:style>
  <w:style w:type="character" w:customStyle="1" w:styleId="dx">
    <w:name w:val="dx"/>
    <w:basedOn w:val="DefaultParagraphFont"/>
    <w:rsid w:val="008956AF"/>
  </w:style>
  <w:style w:type="paragraph" w:customStyle="1" w:styleId="DocId">
    <w:name w:val="DocId"/>
    <w:basedOn w:val="Footer"/>
    <w:link w:val="DocIdChar"/>
    <w:rsid w:val="00F676FB"/>
    <w:rPr>
      <w:rFonts w:ascii="Arial" w:hAnsi="Arial" w:cs="Arial"/>
      <w:bCs/>
      <w:sz w:val="14"/>
    </w:rPr>
  </w:style>
  <w:style w:type="character" w:customStyle="1" w:styleId="DocIdChar">
    <w:name w:val="DocId Char"/>
    <w:basedOn w:val="BodyTextChar"/>
    <w:link w:val="DocId"/>
    <w:rsid w:val="00F676FB"/>
    <w:rPr>
      <w:rFonts w:ascii="Arial" w:hAnsi="Arial" w:cs="Arial"/>
      <w:bCs/>
      <w:sz w:val="14"/>
      <w:szCs w:val="20"/>
      <w:lang w:val="en-GB"/>
    </w:rPr>
  </w:style>
  <w:style w:type="paragraph" w:customStyle="1" w:styleId="MarginText">
    <w:name w:val="Margin Text"/>
    <w:basedOn w:val="Normal"/>
    <w:link w:val="MarginTextChar"/>
    <w:qFormat/>
    <w:rsid w:val="004C4499"/>
    <w:pPr>
      <w:adjustRightInd w:val="0"/>
      <w:spacing w:after="240"/>
      <w:jc w:val="both"/>
    </w:pPr>
    <w:rPr>
      <w:rFonts w:eastAsia="STZhongsong" w:cs="Times New Roman"/>
      <w:szCs w:val="20"/>
      <w:lang w:eastAsia="zh-CN"/>
    </w:rPr>
  </w:style>
  <w:style w:type="character" w:customStyle="1" w:styleId="MarginTextChar">
    <w:name w:val="Margin Text Char"/>
    <w:basedOn w:val="DefaultParagraphFont"/>
    <w:link w:val="MarginText"/>
    <w:rsid w:val="004C4499"/>
    <w:rPr>
      <w:rFonts w:ascii="Times New Roman" w:eastAsia="STZhongsong" w:hAnsi="Times New Roman" w:cs="Times New Roman"/>
      <w:szCs w:val="20"/>
      <w:lang w:val="en-GB" w:eastAsia="zh-CN"/>
    </w:rPr>
  </w:style>
  <w:style w:type="paragraph" w:customStyle="1" w:styleId="FWNCont1">
    <w:name w:val="FWN Cont 1"/>
    <w:basedOn w:val="Normal"/>
    <w:rsid w:val="004C4499"/>
    <w:pPr>
      <w:spacing w:after="240"/>
      <w:jc w:val="both"/>
    </w:pPr>
    <w:rPr>
      <w:rFont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ana].com/investors/cash-offe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londonstockexchange.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4049</Words>
  <Characters>23081</Characters>
  <Application>Microsoft Office Word</Application>
  <DocSecurity>4</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Melanie Hall</cp:lastModifiedBy>
  <cp:revision>2</cp:revision>
  <dcterms:created xsi:type="dcterms:W3CDTF">2024-01-16T11:16:00Z</dcterms:created>
  <dcterms:modified xsi:type="dcterms:W3CDTF">2024-01-16T11:16:00Z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4c64dab6-2bed-4b1e-bf8a-0508f0a1e76b</vt:lpwstr>
  </property>
</Properties>
</file>