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CB" w:rsidRDefault="00DD41CB" w:rsidP="00DD41CB">
      <w:pPr>
        <w:spacing w:after="100" w:afterAutospacing="1" w:line="235" w:lineRule="atLeast"/>
        <w:jc w:val="center"/>
        <w:rPr>
          <w:rFonts w:ascii="Arial" w:eastAsia="Times New Roman" w:hAnsi="Arial" w:cs="Arial"/>
          <w:b/>
          <w:bCs/>
          <w:color w:val="212721"/>
          <w:sz w:val="20"/>
          <w:szCs w:val="20"/>
          <w:lang w:eastAsia="en-GB"/>
        </w:rPr>
      </w:pPr>
      <w:r w:rsidRPr="00FF7BD6">
        <w:rPr>
          <w:rFonts w:ascii="Verdana" w:hAnsi="Verdana"/>
          <w:noProof/>
          <w:sz w:val="18"/>
          <w:szCs w:val="18"/>
          <w:lang w:eastAsia="en-GB"/>
        </w:rPr>
        <w:drawing>
          <wp:inline distT="0" distB="0" distL="0" distR="0" wp14:anchorId="072C6472" wp14:editId="4D161639">
            <wp:extent cx="1074176" cy="861257"/>
            <wp:effectExtent l="0" t="0" r="0" b="0"/>
            <wp:docPr id="1" name="Picture 1" descr="Dech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hra Logo"/>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079628" cy="865628"/>
                    </a:xfrm>
                    <a:prstGeom prst="rect">
                      <a:avLst/>
                    </a:prstGeom>
                    <a:noFill/>
                    <a:ln>
                      <a:noFill/>
                    </a:ln>
                  </pic:spPr>
                </pic:pic>
              </a:graphicData>
            </a:graphic>
          </wp:inline>
        </w:drawing>
      </w:r>
    </w:p>
    <w:p w:rsidR="00B65B61" w:rsidRPr="00B65B61" w:rsidRDefault="00B65B61" w:rsidP="00B65B61">
      <w:pPr>
        <w:spacing w:after="100" w:afterAutospacing="1" w:line="235" w:lineRule="atLeast"/>
        <w:jc w:val="both"/>
        <w:rPr>
          <w:rFonts w:ascii="Calibri" w:eastAsia="Times New Roman" w:hAnsi="Calibri" w:cs="Calibri"/>
          <w:b/>
          <w:bCs/>
          <w:color w:val="212721"/>
          <w:lang w:eastAsia="en-GB"/>
        </w:rPr>
      </w:pPr>
      <w:r w:rsidRPr="00B65B61">
        <w:rPr>
          <w:rFonts w:ascii="Arial" w:eastAsia="Times New Roman" w:hAnsi="Arial" w:cs="Arial"/>
          <w:b/>
          <w:bCs/>
          <w:color w:val="212721"/>
          <w:sz w:val="20"/>
          <w:szCs w:val="20"/>
          <w:lang w:eastAsia="en-GB"/>
        </w:rPr>
        <w:t>THIS ANNOUNCEMENT IS RESTRICTED AND IS NOT FOR RELEASE, PUBLICATION, DISTRIBUTION OR FORWARDING, IN WHOLE OR IN PART, DIRECTLY OR INDIRECTLY, IN OR INTO THE UNITED STATES, AUSTRALIA, CANADA, THE REPUBLIC OF SOUTH AFRICA, JAPAN OR ANY OTHER JURISDICTION IN WHICH SUCH PUBLICATION, RELEASE OR DISTRIBUTION WOULD BE UNLAWFUL.</w:t>
      </w:r>
    </w:p>
    <w:p w:rsidR="00B65B61" w:rsidRPr="00B65B61" w:rsidRDefault="00B65B61" w:rsidP="00B65B61">
      <w:pPr>
        <w:shd w:val="clear" w:color="auto" w:fill="FFFFFF"/>
        <w:spacing w:after="100" w:afterAutospacing="1" w:line="235" w:lineRule="atLeast"/>
        <w:jc w:val="both"/>
        <w:rPr>
          <w:rFonts w:ascii="Calibri" w:eastAsia="Times New Roman" w:hAnsi="Calibri" w:cs="Calibri"/>
          <w:color w:val="212721"/>
          <w:lang w:eastAsia="en-GB"/>
        </w:rPr>
      </w:pPr>
      <w:r w:rsidRPr="00B65B61">
        <w:rPr>
          <w:rFonts w:ascii="Arial" w:eastAsia="Times New Roman" w:hAnsi="Arial" w:cs="Arial"/>
          <w:b/>
          <w:bCs/>
          <w:color w:val="212721"/>
          <w:sz w:val="20"/>
          <w:szCs w:val="20"/>
          <w:lang w:eastAsia="en-GB"/>
        </w:rPr>
        <w:t>FURTHER, THIS ANNOUNCEMENT IS FOR INFORMATION PURPOSES ONLY AND IS NOT AN OFFER OF SECURITIES IN ANY JURISDICTION.</w:t>
      </w:r>
      <w:r w:rsidRPr="00B65B61">
        <w:rPr>
          <w:rFonts w:ascii="Calibri" w:eastAsia="Times New Roman" w:hAnsi="Calibri" w:cs="Calibri"/>
          <w:b/>
          <w:bCs/>
          <w:color w:val="212721"/>
          <w:lang w:eastAsia="en-GB"/>
        </w:rPr>
        <w:t> </w:t>
      </w:r>
      <w:r w:rsidRPr="00B65B61">
        <w:rPr>
          <w:rFonts w:ascii="Arial" w:eastAsia="Times New Roman" w:hAnsi="Arial" w:cs="Arial"/>
          <w:b/>
          <w:bCs/>
          <w:color w:val="212721"/>
          <w:sz w:val="20"/>
          <w:szCs w:val="20"/>
          <w:lang w:eastAsia="en-GB"/>
        </w:rPr>
        <w:t>PLEASE SEE THE IMPORTANT NOTICE AT THE OF THIS ANNOUNCEMENT.</w:t>
      </w:r>
    </w:p>
    <w:p w:rsidR="00B65B61" w:rsidRPr="00B65B61" w:rsidRDefault="00B65B61" w:rsidP="00B65B61">
      <w:pPr>
        <w:spacing w:after="100" w:afterAutospacing="1" w:line="235" w:lineRule="atLeast"/>
        <w:jc w:val="both"/>
        <w:rPr>
          <w:rFonts w:ascii="Calibri" w:eastAsia="Times New Roman" w:hAnsi="Calibri" w:cs="Calibri"/>
          <w:b/>
          <w:bCs/>
          <w:color w:val="212721"/>
          <w:lang w:eastAsia="en-GB"/>
        </w:rPr>
      </w:pPr>
      <w:r w:rsidRPr="00B65B61">
        <w:rPr>
          <w:rFonts w:ascii="Arial" w:eastAsia="Times New Roman" w:hAnsi="Arial" w:cs="Arial"/>
          <w:b/>
          <w:bCs/>
          <w:color w:val="212721"/>
          <w:sz w:val="20"/>
          <w:szCs w:val="20"/>
          <w:lang w:eastAsia="en-GB"/>
        </w:rPr>
        <w:t>THIS ANNOUNCEMENT CONTAINS INSIDE INFORMATION.</w:t>
      </w:r>
    </w:p>
    <w:p w:rsidR="00B65B61" w:rsidRPr="00716676" w:rsidRDefault="00B65B61" w:rsidP="00B65B61">
      <w:pPr>
        <w:spacing w:after="100" w:afterAutospacing="1" w:line="235" w:lineRule="atLeast"/>
        <w:rPr>
          <w:rFonts w:ascii="Arial" w:eastAsia="Times New Roman" w:hAnsi="Arial" w:cs="Arial"/>
          <w:b/>
          <w:bCs/>
          <w:color w:val="212721"/>
          <w:sz w:val="20"/>
          <w:szCs w:val="20"/>
          <w:lang w:eastAsia="en-GB"/>
        </w:rPr>
      </w:pPr>
      <w:r w:rsidRPr="00716676">
        <w:rPr>
          <w:rFonts w:ascii="Arial" w:eastAsia="Times New Roman" w:hAnsi="Arial" w:cs="Arial"/>
          <w:b/>
          <w:bCs/>
          <w:color w:val="212721"/>
          <w:sz w:val="20"/>
          <w:szCs w:val="20"/>
          <w:lang w:eastAsia="en-GB"/>
        </w:rPr>
        <w:t xml:space="preserve">LEI: </w:t>
      </w:r>
      <w:r w:rsidRPr="00716676">
        <w:rPr>
          <w:rFonts w:ascii="Arial" w:hAnsi="Arial" w:cs="Arial"/>
          <w:b/>
          <w:sz w:val="20"/>
          <w:szCs w:val="20"/>
        </w:rPr>
        <w:t>213800J4UVB5OWG8VX82</w:t>
      </w:r>
    </w:p>
    <w:p w:rsidR="00B65B61" w:rsidRPr="00B65B61" w:rsidRDefault="00B65B61" w:rsidP="00B65B61">
      <w:pPr>
        <w:spacing w:after="100" w:afterAutospacing="1" w:line="235" w:lineRule="atLeast"/>
        <w:rPr>
          <w:rFonts w:ascii="Calibri" w:eastAsia="Times New Roman" w:hAnsi="Calibri" w:cs="Calibri"/>
          <w:b/>
          <w:bCs/>
          <w:color w:val="212721"/>
          <w:lang w:eastAsia="en-GB"/>
        </w:rPr>
      </w:pPr>
      <w:r w:rsidRPr="00B65B61">
        <w:rPr>
          <w:rFonts w:ascii="Arial" w:eastAsia="Times New Roman" w:hAnsi="Arial" w:cs="Arial"/>
          <w:b/>
          <w:bCs/>
          <w:color w:val="212721"/>
          <w:sz w:val="20"/>
          <w:szCs w:val="20"/>
          <w:lang w:eastAsia="en-GB"/>
        </w:rPr>
        <w:t>For immediate release</w:t>
      </w:r>
    </w:p>
    <w:p w:rsidR="00B65B61" w:rsidRPr="001B6B7F" w:rsidRDefault="00B65B61" w:rsidP="00B65B61">
      <w:pPr>
        <w:shd w:val="clear" w:color="auto" w:fill="FFFFFF"/>
        <w:spacing w:after="100" w:afterAutospacing="1" w:line="235" w:lineRule="atLeast"/>
        <w:rPr>
          <w:rFonts w:ascii="Calibri" w:eastAsia="Times New Roman" w:hAnsi="Calibri" w:cs="Calibri"/>
          <w:b/>
          <w:color w:val="212721"/>
          <w:lang w:eastAsia="en-GB"/>
        </w:rPr>
      </w:pPr>
      <w:r w:rsidRPr="001B6B7F">
        <w:rPr>
          <w:rFonts w:ascii="Arial" w:eastAsia="Times New Roman" w:hAnsi="Arial" w:cs="Arial"/>
          <w:b/>
          <w:color w:val="212721"/>
          <w:sz w:val="20"/>
          <w:szCs w:val="20"/>
          <w:lang w:eastAsia="en-GB"/>
        </w:rPr>
        <w:t>4 June 2020</w:t>
      </w:r>
    </w:p>
    <w:p w:rsidR="00DC5D01" w:rsidRPr="00595450" w:rsidRDefault="001B6B7F" w:rsidP="00DC5D01">
      <w:pPr>
        <w:spacing w:after="100" w:afterAutospacing="1" w:line="240" w:lineRule="auto"/>
        <w:jc w:val="center"/>
        <w:rPr>
          <w:rFonts w:ascii="Times New Roman" w:eastAsia="Times New Roman" w:hAnsi="Times New Roman" w:cs="Times New Roman"/>
          <w:b/>
          <w:bCs/>
          <w:color w:val="212721"/>
          <w:lang w:eastAsia="en-GB"/>
        </w:rPr>
      </w:pPr>
      <w:r>
        <w:rPr>
          <w:rFonts w:ascii="Arial" w:eastAsia="Times New Roman" w:hAnsi="Arial" w:cs="Arial"/>
          <w:b/>
          <w:bCs/>
          <w:color w:val="212721"/>
          <w:sz w:val="20"/>
          <w:szCs w:val="20"/>
          <w:lang w:eastAsia="en-GB"/>
        </w:rPr>
        <w:t>Dechra Pharmaceuticals</w:t>
      </w:r>
      <w:r w:rsidRPr="00595450">
        <w:rPr>
          <w:rFonts w:ascii="Arial" w:eastAsia="Times New Roman" w:hAnsi="Arial" w:cs="Arial"/>
          <w:b/>
          <w:bCs/>
          <w:color w:val="212721"/>
          <w:sz w:val="20"/>
          <w:szCs w:val="20"/>
          <w:lang w:eastAsia="en-GB"/>
        </w:rPr>
        <w:t xml:space="preserve"> </w:t>
      </w:r>
      <w:r w:rsidR="00DC5D01">
        <w:rPr>
          <w:rFonts w:ascii="Arial" w:eastAsia="Times New Roman" w:hAnsi="Arial" w:cs="Arial"/>
          <w:b/>
          <w:bCs/>
          <w:color w:val="212721"/>
          <w:sz w:val="20"/>
          <w:szCs w:val="20"/>
          <w:lang w:eastAsia="en-GB"/>
        </w:rPr>
        <w:t>PLC</w:t>
      </w:r>
    </w:p>
    <w:p w:rsidR="00DC5D01" w:rsidRPr="00595450" w:rsidRDefault="00DC5D01" w:rsidP="00DC5D01">
      <w:pPr>
        <w:spacing w:after="100" w:afterAutospacing="1" w:line="240" w:lineRule="auto"/>
        <w:jc w:val="center"/>
        <w:rPr>
          <w:rFonts w:ascii="Times New Roman" w:eastAsia="Times New Roman" w:hAnsi="Times New Roman" w:cs="Times New Roman"/>
          <w:color w:val="212721"/>
          <w:lang w:eastAsia="en-GB"/>
        </w:rPr>
      </w:pPr>
      <w:r w:rsidRPr="00595450">
        <w:rPr>
          <w:rFonts w:ascii="Arial" w:eastAsia="Times New Roman" w:hAnsi="Arial" w:cs="Arial"/>
          <w:color w:val="212721"/>
          <w:sz w:val="20"/>
          <w:szCs w:val="20"/>
          <w:lang w:eastAsia="en-GB"/>
        </w:rPr>
        <w:t>("</w:t>
      </w:r>
      <w:r w:rsidR="001B6B7F">
        <w:rPr>
          <w:rFonts w:ascii="Arial" w:eastAsia="Times New Roman" w:hAnsi="Arial" w:cs="Arial"/>
          <w:b/>
          <w:bCs/>
          <w:color w:val="212721"/>
          <w:sz w:val="20"/>
          <w:szCs w:val="20"/>
          <w:lang w:eastAsia="en-GB"/>
        </w:rPr>
        <w:t>Dechra</w:t>
      </w:r>
      <w:r w:rsidRPr="00595450">
        <w:rPr>
          <w:rFonts w:ascii="Arial" w:eastAsia="Times New Roman" w:hAnsi="Arial" w:cs="Arial"/>
          <w:color w:val="212721"/>
          <w:sz w:val="20"/>
          <w:szCs w:val="20"/>
          <w:lang w:eastAsia="en-GB"/>
        </w:rPr>
        <w:t>" or the "</w:t>
      </w:r>
      <w:r>
        <w:rPr>
          <w:rFonts w:ascii="Arial" w:eastAsia="Times New Roman" w:hAnsi="Arial" w:cs="Arial"/>
          <w:b/>
          <w:bCs/>
          <w:color w:val="212721"/>
          <w:sz w:val="20"/>
          <w:szCs w:val="20"/>
          <w:lang w:eastAsia="en-GB"/>
        </w:rPr>
        <w:t>C</w:t>
      </w:r>
      <w:r w:rsidRPr="00595450">
        <w:rPr>
          <w:rFonts w:ascii="Arial" w:eastAsia="Times New Roman" w:hAnsi="Arial" w:cs="Arial"/>
          <w:b/>
          <w:bCs/>
          <w:color w:val="212721"/>
          <w:sz w:val="20"/>
          <w:szCs w:val="20"/>
          <w:lang w:eastAsia="en-GB"/>
        </w:rPr>
        <w:t>ompany</w:t>
      </w:r>
      <w:r w:rsidRPr="00595450">
        <w:rPr>
          <w:rFonts w:ascii="Arial" w:eastAsia="Times New Roman" w:hAnsi="Arial" w:cs="Arial"/>
          <w:color w:val="212721"/>
          <w:sz w:val="20"/>
          <w:szCs w:val="20"/>
          <w:lang w:eastAsia="en-GB"/>
        </w:rPr>
        <w:t>")</w:t>
      </w:r>
    </w:p>
    <w:p w:rsidR="00F44748" w:rsidRDefault="00F44748" w:rsidP="00BF550D">
      <w:pPr>
        <w:spacing w:after="0" w:line="240" w:lineRule="auto"/>
        <w:ind w:right="28"/>
        <w:jc w:val="center"/>
        <w:rPr>
          <w:rFonts w:ascii="Arial" w:eastAsia="Times New Roman" w:hAnsi="Arial" w:cs="Arial"/>
          <w:b/>
          <w:bCs/>
          <w:sz w:val="20"/>
          <w:szCs w:val="20"/>
          <w:lang w:eastAsia="en-GB"/>
        </w:rPr>
      </w:pPr>
      <w:r w:rsidRPr="00192736">
        <w:rPr>
          <w:rFonts w:ascii="Arial" w:eastAsia="Times New Roman" w:hAnsi="Arial" w:cs="Arial"/>
          <w:b/>
          <w:bCs/>
          <w:sz w:val="20"/>
          <w:szCs w:val="20"/>
          <w:lang w:eastAsia="en-GB"/>
        </w:rPr>
        <w:t>Result</w:t>
      </w:r>
      <w:r w:rsidR="002567D9" w:rsidRPr="00192736">
        <w:rPr>
          <w:rFonts w:ascii="Arial" w:eastAsia="Times New Roman" w:hAnsi="Arial" w:cs="Arial"/>
          <w:b/>
          <w:bCs/>
          <w:sz w:val="20"/>
          <w:szCs w:val="20"/>
          <w:lang w:eastAsia="en-GB"/>
        </w:rPr>
        <w:t>s</w:t>
      </w:r>
      <w:r w:rsidRPr="00192736">
        <w:rPr>
          <w:rFonts w:ascii="Arial" w:eastAsia="Times New Roman" w:hAnsi="Arial" w:cs="Arial"/>
          <w:b/>
          <w:bCs/>
          <w:sz w:val="20"/>
          <w:szCs w:val="20"/>
          <w:lang w:eastAsia="en-GB"/>
        </w:rPr>
        <w:t xml:space="preserve"> of Placing</w:t>
      </w:r>
    </w:p>
    <w:p w:rsidR="00FD13A3" w:rsidRPr="00192736" w:rsidRDefault="00FD13A3" w:rsidP="00BF550D">
      <w:pPr>
        <w:spacing w:after="0" w:line="240" w:lineRule="auto"/>
        <w:ind w:right="28"/>
        <w:jc w:val="center"/>
        <w:rPr>
          <w:rFonts w:ascii="Arial" w:eastAsia="Times New Roman" w:hAnsi="Arial" w:cs="Arial"/>
          <w:b/>
          <w:bCs/>
          <w:sz w:val="20"/>
          <w:szCs w:val="20"/>
          <w:lang w:eastAsia="en-GB"/>
        </w:rPr>
      </w:pPr>
    </w:p>
    <w:p w:rsidR="00BF550D" w:rsidRPr="00192736" w:rsidRDefault="00BF550D" w:rsidP="00BF550D">
      <w:pPr>
        <w:spacing w:after="0" w:line="240" w:lineRule="auto"/>
        <w:ind w:right="28"/>
        <w:jc w:val="center"/>
        <w:rPr>
          <w:rFonts w:ascii="Arial" w:eastAsia="Times New Roman" w:hAnsi="Arial" w:cs="Arial"/>
          <w:b/>
          <w:bCs/>
          <w:sz w:val="20"/>
          <w:szCs w:val="20"/>
          <w:lang w:eastAsia="en-GB"/>
        </w:rPr>
      </w:pPr>
    </w:p>
    <w:p w:rsidR="00F44748" w:rsidRPr="00192736" w:rsidRDefault="001B6B7F" w:rsidP="00FD13A3">
      <w:pPr>
        <w:spacing w:after="0" w:line="276" w:lineRule="auto"/>
        <w:jc w:val="both"/>
        <w:rPr>
          <w:rFonts w:ascii="Arial" w:hAnsi="Arial" w:cs="Arial"/>
          <w:sz w:val="20"/>
          <w:szCs w:val="20"/>
        </w:rPr>
      </w:pPr>
      <w:r>
        <w:rPr>
          <w:rFonts w:ascii="Arial" w:eastAsia="Times New Roman" w:hAnsi="Arial" w:cs="Arial"/>
          <w:bCs/>
          <w:color w:val="212721"/>
          <w:sz w:val="20"/>
          <w:szCs w:val="20"/>
          <w:lang w:eastAsia="en-GB"/>
        </w:rPr>
        <w:t>Dechra</w:t>
      </w:r>
      <w:r w:rsidR="00686598" w:rsidRPr="00192736">
        <w:rPr>
          <w:rFonts w:ascii="Arial" w:hAnsi="Arial" w:cs="Arial"/>
          <w:sz w:val="20"/>
          <w:szCs w:val="20"/>
        </w:rPr>
        <w:t xml:space="preserve"> </w:t>
      </w:r>
      <w:r w:rsidR="00B65B61">
        <w:rPr>
          <w:rFonts w:ascii="Arial" w:hAnsi="Arial" w:cs="Arial"/>
          <w:color w:val="212721"/>
          <w:sz w:val="20"/>
          <w:szCs w:val="20"/>
        </w:rPr>
        <w:t>(LSE: DPH) is pleased to announce th</w:t>
      </w:r>
      <w:r w:rsidR="00730AEE">
        <w:rPr>
          <w:rFonts w:ascii="Arial" w:hAnsi="Arial" w:cs="Arial"/>
          <w:color w:val="212721"/>
          <w:sz w:val="20"/>
          <w:szCs w:val="20"/>
        </w:rPr>
        <w:t xml:space="preserve">e successful completion of the </w:t>
      </w:r>
      <w:r w:rsidR="00C34092">
        <w:rPr>
          <w:rFonts w:ascii="Arial" w:hAnsi="Arial" w:cs="Arial"/>
          <w:color w:val="212721"/>
          <w:sz w:val="20"/>
          <w:szCs w:val="20"/>
        </w:rPr>
        <w:t>p</w:t>
      </w:r>
      <w:r w:rsidR="00B65B61">
        <w:rPr>
          <w:rFonts w:ascii="Arial" w:hAnsi="Arial" w:cs="Arial"/>
          <w:color w:val="212721"/>
          <w:sz w:val="20"/>
          <w:szCs w:val="20"/>
        </w:rPr>
        <w:t>lacing of new ordinary shares in the capital of t</w:t>
      </w:r>
      <w:r w:rsidR="00730AEE">
        <w:rPr>
          <w:rFonts w:ascii="Arial" w:hAnsi="Arial" w:cs="Arial"/>
          <w:color w:val="212721"/>
          <w:sz w:val="20"/>
          <w:szCs w:val="20"/>
        </w:rPr>
        <w:t>he Company</w:t>
      </w:r>
      <w:r w:rsidR="00C34092">
        <w:rPr>
          <w:rFonts w:ascii="Arial" w:hAnsi="Arial" w:cs="Arial"/>
          <w:color w:val="212721"/>
          <w:sz w:val="20"/>
          <w:szCs w:val="20"/>
        </w:rPr>
        <w:t xml:space="preserve"> (the “</w:t>
      </w:r>
      <w:r w:rsidR="00C34092">
        <w:rPr>
          <w:rFonts w:ascii="Arial" w:hAnsi="Arial" w:cs="Arial"/>
          <w:b/>
          <w:color w:val="212721"/>
          <w:sz w:val="20"/>
          <w:szCs w:val="20"/>
        </w:rPr>
        <w:t>Placing Shares”</w:t>
      </w:r>
      <w:r w:rsidR="00C34092" w:rsidRPr="00CF7CBC">
        <w:rPr>
          <w:rFonts w:ascii="Arial" w:hAnsi="Arial" w:cs="Arial"/>
          <w:color w:val="212721"/>
          <w:sz w:val="20"/>
          <w:szCs w:val="20"/>
        </w:rPr>
        <w:t>)</w:t>
      </w:r>
      <w:r w:rsidR="00730AEE">
        <w:rPr>
          <w:rFonts w:ascii="Arial" w:hAnsi="Arial" w:cs="Arial"/>
          <w:color w:val="212721"/>
          <w:sz w:val="20"/>
          <w:szCs w:val="20"/>
        </w:rPr>
        <w:t xml:space="preserve"> announced yesterday</w:t>
      </w:r>
      <w:r w:rsidR="00C34092">
        <w:rPr>
          <w:rFonts w:ascii="Arial" w:hAnsi="Arial" w:cs="Arial"/>
          <w:color w:val="212721"/>
          <w:sz w:val="20"/>
          <w:szCs w:val="20"/>
        </w:rPr>
        <w:t xml:space="preserve"> (the “</w:t>
      </w:r>
      <w:r w:rsidR="00C34092">
        <w:rPr>
          <w:rFonts w:ascii="Arial" w:hAnsi="Arial" w:cs="Arial"/>
          <w:b/>
          <w:color w:val="212721"/>
          <w:sz w:val="20"/>
          <w:szCs w:val="20"/>
        </w:rPr>
        <w:t>Placing</w:t>
      </w:r>
      <w:r w:rsidR="00C34092">
        <w:rPr>
          <w:rFonts w:ascii="Arial" w:hAnsi="Arial" w:cs="Arial"/>
          <w:color w:val="212721"/>
          <w:sz w:val="20"/>
          <w:szCs w:val="20"/>
        </w:rPr>
        <w:t>”)</w:t>
      </w:r>
      <w:r w:rsidR="00B65B61">
        <w:rPr>
          <w:rFonts w:ascii="Arial" w:hAnsi="Arial" w:cs="Arial"/>
          <w:color w:val="212721"/>
          <w:sz w:val="20"/>
          <w:szCs w:val="20"/>
        </w:rPr>
        <w:t>.</w:t>
      </w:r>
    </w:p>
    <w:p w:rsidR="00BF550D" w:rsidRPr="00192736" w:rsidRDefault="00BF550D" w:rsidP="00FD13A3">
      <w:pPr>
        <w:spacing w:after="0" w:line="276" w:lineRule="auto"/>
        <w:jc w:val="both"/>
        <w:rPr>
          <w:rFonts w:ascii="Arial" w:hAnsi="Arial" w:cs="Arial"/>
          <w:sz w:val="20"/>
          <w:szCs w:val="20"/>
        </w:rPr>
      </w:pPr>
    </w:p>
    <w:p w:rsidR="00A639A4" w:rsidRPr="00192736" w:rsidRDefault="00F44748" w:rsidP="00FD13A3">
      <w:pPr>
        <w:spacing w:after="0" w:line="276" w:lineRule="auto"/>
        <w:jc w:val="both"/>
        <w:rPr>
          <w:rFonts w:ascii="Arial" w:hAnsi="Arial" w:cs="Arial"/>
          <w:sz w:val="20"/>
          <w:szCs w:val="20"/>
        </w:rPr>
      </w:pPr>
      <w:r w:rsidRPr="00192736">
        <w:rPr>
          <w:rFonts w:ascii="Arial" w:hAnsi="Arial" w:cs="Arial"/>
          <w:sz w:val="20"/>
          <w:szCs w:val="20"/>
        </w:rPr>
        <w:t xml:space="preserve">A total of </w:t>
      </w:r>
      <w:r w:rsidR="005B595E" w:rsidRPr="00192736">
        <w:rPr>
          <w:rFonts w:ascii="Arial" w:hAnsi="Arial" w:cs="Arial"/>
          <w:sz w:val="20"/>
          <w:szCs w:val="20"/>
        </w:rPr>
        <w:t>5</w:t>
      </w:r>
      <w:r w:rsidR="00095DCF">
        <w:rPr>
          <w:rFonts w:ascii="Arial" w:hAnsi="Arial" w:cs="Arial"/>
          <w:sz w:val="20"/>
          <w:szCs w:val="20"/>
        </w:rPr>
        <w:t>,132,5</w:t>
      </w:r>
      <w:r w:rsidR="005B595E" w:rsidRPr="00192736">
        <w:rPr>
          <w:rFonts w:ascii="Arial" w:hAnsi="Arial" w:cs="Arial"/>
          <w:sz w:val="20"/>
          <w:szCs w:val="20"/>
        </w:rPr>
        <w:t>00</w:t>
      </w:r>
      <w:r w:rsidRPr="00192736">
        <w:rPr>
          <w:rFonts w:ascii="Arial" w:hAnsi="Arial" w:cs="Arial"/>
          <w:sz w:val="20"/>
          <w:szCs w:val="20"/>
        </w:rPr>
        <w:t xml:space="preserve"> Placing Shares, representing approximately </w:t>
      </w:r>
      <w:r w:rsidR="008A30C5" w:rsidRPr="00192736">
        <w:rPr>
          <w:rFonts w:ascii="Arial" w:hAnsi="Arial" w:cs="Arial"/>
          <w:sz w:val="20"/>
          <w:szCs w:val="20"/>
        </w:rPr>
        <w:t>5</w:t>
      </w:r>
      <w:r w:rsidRPr="00192736">
        <w:rPr>
          <w:rFonts w:ascii="Arial" w:hAnsi="Arial" w:cs="Arial"/>
          <w:sz w:val="20"/>
          <w:szCs w:val="20"/>
        </w:rPr>
        <w:t xml:space="preserve"> per cent. of the existing issued share capital of the Company, have been placed by Investec</w:t>
      </w:r>
      <w:r w:rsidR="00C34092">
        <w:rPr>
          <w:rFonts w:ascii="Arial" w:hAnsi="Arial" w:cs="Arial"/>
          <w:sz w:val="20"/>
          <w:szCs w:val="20"/>
        </w:rPr>
        <w:t xml:space="preserve"> Bank plc (“I</w:t>
      </w:r>
      <w:r w:rsidR="00C34092">
        <w:rPr>
          <w:rFonts w:ascii="Arial" w:hAnsi="Arial" w:cs="Arial"/>
          <w:b/>
          <w:sz w:val="20"/>
          <w:szCs w:val="20"/>
        </w:rPr>
        <w:t>nvestec</w:t>
      </w:r>
      <w:r w:rsidR="00C34092">
        <w:rPr>
          <w:rFonts w:ascii="Arial" w:hAnsi="Arial" w:cs="Arial"/>
          <w:sz w:val="20"/>
          <w:szCs w:val="20"/>
        </w:rPr>
        <w:t>”)</w:t>
      </w:r>
      <w:r w:rsidR="00F60F8E" w:rsidRPr="00192736">
        <w:rPr>
          <w:rFonts w:ascii="Arial" w:hAnsi="Arial" w:cs="Arial"/>
          <w:sz w:val="20"/>
          <w:szCs w:val="20"/>
        </w:rPr>
        <w:t>, the sole bookrunner,</w:t>
      </w:r>
      <w:r w:rsidRPr="00192736">
        <w:rPr>
          <w:rFonts w:ascii="Arial" w:hAnsi="Arial" w:cs="Arial"/>
          <w:sz w:val="20"/>
          <w:szCs w:val="20"/>
        </w:rPr>
        <w:t xml:space="preserve"> at a price of </w:t>
      </w:r>
      <w:r w:rsidR="00605ADD">
        <w:rPr>
          <w:rFonts w:ascii="Arial" w:hAnsi="Arial" w:cs="Arial"/>
          <w:sz w:val="20"/>
          <w:szCs w:val="20"/>
        </w:rPr>
        <w:t>2600</w:t>
      </w:r>
      <w:r w:rsidR="00F60F8E" w:rsidRPr="00192736">
        <w:rPr>
          <w:rFonts w:ascii="Arial" w:hAnsi="Arial" w:cs="Arial"/>
          <w:sz w:val="20"/>
          <w:szCs w:val="20"/>
        </w:rPr>
        <w:t xml:space="preserve"> pence</w:t>
      </w:r>
      <w:r w:rsidRPr="00192736">
        <w:rPr>
          <w:rFonts w:ascii="Arial" w:hAnsi="Arial" w:cs="Arial"/>
          <w:sz w:val="20"/>
          <w:szCs w:val="20"/>
        </w:rPr>
        <w:t xml:space="preserve"> per </w:t>
      </w:r>
      <w:r w:rsidR="00F60F8E" w:rsidRPr="00192736">
        <w:rPr>
          <w:rFonts w:ascii="Arial" w:hAnsi="Arial" w:cs="Arial"/>
          <w:sz w:val="20"/>
          <w:szCs w:val="20"/>
        </w:rPr>
        <w:t>Placing S</w:t>
      </w:r>
      <w:r w:rsidRPr="00192736">
        <w:rPr>
          <w:rFonts w:ascii="Arial" w:hAnsi="Arial" w:cs="Arial"/>
          <w:sz w:val="20"/>
          <w:szCs w:val="20"/>
        </w:rPr>
        <w:t>hare</w:t>
      </w:r>
      <w:r w:rsidR="006A105E">
        <w:rPr>
          <w:rFonts w:ascii="Arial" w:hAnsi="Arial" w:cs="Arial"/>
          <w:sz w:val="20"/>
          <w:szCs w:val="20"/>
        </w:rPr>
        <w:t xml:space="preserve"> (the “</w:t>
      </w:r>
      <w:r w:rsidR="006A105E" w:rsidRPr="00C34092">
        <w:rPr>
          <w:rFonts w:ascii="Arial" w:hAnsi="Arial" w:cs="Arial"/>
          <w:b/>
          <w:sz w:val="20"/>
          <w:szCs w:val="20"/>
        </w:rPr>
        <w:t>Placing Price</w:t>
      </w:r>
      <w:r w:rsidR="006A105E">
        <w:rPr>
          <w:rFonts w:ascii="Arial" w:hAnsi="Arial" w:cs="Arial"/>
          <w:sz w:val="20"/>
          <w:szCs w:val="20"/>
        </w:rPr>
        <w:t>”)</w:t>
      </w:r>
      <w:r w:rsidRPr="00192736">
        <w:rPr>
          <w:rFonts w:ascii="Arial" w:hAnsi="Arial" w:cs="Arial"/>
          <w:sz w:val="20"/>
          <w:szCs w:val="20"/>
        </w:rPr>
        <w:t>, raising gross proceeds of £</w:t>
      </w:r>
      <w:r w:rsidR="00605ADD">
        <w:rPr>
          <w:rFonts w:ascii="Arial" w:hAnsi="Arial" w:cs="Arial"/>
          <w:sz w:val="20"/>
          <w:szCs w:val="20"/>
        </w:rPr>
        <w:t>133.4</w:t>
      </w:r>
      <w:r w:rsidR="001A1EA0" w:rsidRPr="00192736">
        <w:rPr>
          <w:rFonts w:ascii="Arial" w:hAnsi="Arial" w:cs="Arial"/>
          <w:sz w:val="20"/>
          <w:szCs w:val="20"/>
        </w:rPr>
        <w:t xml:space="preserve"> million </w:t>
      </w:r>
      <w:r w:rsidR="00F60F8E" w:rsidRPr="00192736">
        <w:rPr>
          <w:rFonts w:ascii="Arial" w:hAnsi="Arial" w:cs="Arial"/>
          <w:sz w:val="20"/>
          <w:szCs w:val="20"/>
        </w:rPr>
        <w:t>for the Company</w:t>
      </w:r>
      <w:r w:rsidRPr="00192736">
        <w:rPr>
          <w:rFonts w:ascii="Arial" w:hAnsi="Arial" w:cs="Arial"/>
          <w:sz w:val="20"/>
          <w:szCs w:val="20"/>
        </w:rPr>
        <w:t xml:space="preserve">. The Placing Price of </w:t>
      </w:r>
      <w:r w:rsidR="00605ADD">
        <w:rPr>
          <w:rFonts w:ascii="Arial" w:hAnsi="Arial" w:cs="Arial"/>
          <w:sz w:val="20"/>
          <w:szCs w:val="20"/>
          <w:shd w:val="clear" w:color="auto" w:fill="FFFFFF"/>
        </w:rPr>
        <w:t>2600</w:t>
      </w:r>
      <w:r w:rsidR="00605ADD" w:rsidRPr="00192736">
        <w:rPr>
          <w:rFonts w:ascii="Arial" w:hAnsi="Arial" w:cs="Arial"/>
          <w:sz w:val="20"/>
          <w:szCs w:val="20"/>
        </w:rPr>
        <w:t xml:space="preserve"> </w:t>
      </w:r>
      <w:r w:rsidRPr="00192736">
        <w:rPr>
          <w:rFonts w:ascii="Arial" w:hAnsi="Arial" w:cs="Arial"/>
          <w:sz w:val="20"/>
          <w:szCs w:val="20"/>
        </w:rPr>
        <w:t>p</w:t>
      </w:r>
      <w:r w:rsidR="00F60F8E" w:rsidRPr="00192736">
        <w:rPr>
          <w:rFonts w:ascii="Arial" w:hAnsi="Arial" w:cs="Arial"/>
          <w:sz w:val="20"/>
          <w:szCs w:val="20"/>
        </w:rPr>
        <w:t>ence</w:t>
      </w:r>
      <w:r w:rsidRPr="00192736">
        <w:rPr>
          <w:rFonts w:ascii="Arial" w:hAnsi="Arial" w:cs="Arial"/>
          <w:sz w:val="20"/>
          <w:szCs w:val="20"/>
        </w:rPr>
        <w:t xml:space="preserve"> represents a </w:t>
      </w:r>
      <w:r w:rsidR="00095DCF">
        <w:rPr>
          <w:rFonts w:ascii="Arial" w:hAnsi="Arial" w:cs="Arial"/>
          <w:sz w:val="20"/>
          <w:szCs w:val="20"/>
        </w:rPr>
        <w:t>discount</w:t>
      </w:r>
      <w:r w:rsidR="008A30C5" w:rsidRPr="00192736">
        <w:rPr>
          <w:rFonts w:ascii="Arial" w:hAnsi="Arial" w:cs="Arial"/>
          <w:sz w:val="20"/>
          <w:szCs w:val="20"/>
        </w:rPr>
        <w:t xml:space="preserve"> </w:t>
      </w:r>
      <w:r w:rsidRPr="00192736">
        <w:rPr>
          <w:rFonts w:ascii="Arial" w:hAnsi="Arial" w:cs="Arial"/>
          <w:sz w:val="20"/>
          <w:szCs w:val="20"/>
        </w:rPr>
        <w:t xml:space="preserve">of </w:t>
      </w:r>
      <w:r w:rsidR="001B6B7F">
        <w:rPr>
          <w:rFonts w:ascii="Arial" w:hAnsi="Arial" w:cs="Arial"/>
          <w:sz w:val="20"/>
          <w:szCs w:val="20"/>
        </w:rPr>
        <w:t>5.3</w:t>
      </w:r>
      <w:r w:rsidRPr="00192736">
        <w:rPr>
          <w:rFonts w:ascii="Arial" w:hAnsi="Arial" w:cs="Arial"/>
          <w:sz w:val="20"/>
          <w:szCs w:val="20"/>
        </w:rPr>
        <w:t xml:space="preserve"> per cent. to the closing</w:t>
      </w:r>
      <w:r w:rsidR="00F60F8E" w:rsidRPr="00192736">
        <w:rPr>
          <w:rFonts w:ascii="Arial" w:hAnsi="Arial" w:cs="Arial"/>
          <w:sz w:val="20"/>
          <w:szCs w:val="20"/>
        </w:rPr>
        <w:t xml:space="preserve"> </w:t>
      </w:r>
      <w:r w:rsidR="006A105E">
        <w:rPr>
          <w:rFonts w:ascii="Arial" w:hAnsi="Arial" w:cs="Arial"/>
          <w:sz w:val="20"/>
          <w:szCs w:val="20"/>
        </w:rPr>
        <w:t xml:space="preserve">middle market </w:t>
      </w:r>
      <w:r w:rsidR="00F60F8E" w:rsidRPr="00192736">
        <w:rPr>
          <w:rFonts w:ascii="Arial" w:hAnsi="Arial" w:cs="Arial"/>
          <w:sz w:val="20"/>
          <w:szCs w:val="20"/>
        </w:rPr>
        <w:t>share</w:t>
      </w:r>
      <w:r w:rsidRPr="00192736">
        <w:rPr>
          <w:rFonts w:ascii="Arial" w:hAnsi="Arial" w:cs="Arial"/>
          <w:sz w:val="20"/>
          <w:szCs w:val="20"/>
        </w:rPr>
        <w:t xml:space="preserve"> price of </w:t>
      </w:r>
      <w:r w:rsidR="001B6B7F">
        <w:rPr>
          <w:rFonts w:ascii="Arial" w:hAnsi="Arial" w:cs="Arial"/>
          <w:sz w:val="20"/>
          <w:szCs w:val="20"/>
        </w:rPr>
        <w:t>2746</w:t>
      </w:r>
      <w:r w:rsidR="001B6B7F" w:rsidRPr="00192736">
        <w:rPr>
          <w:rFonts w:ascii="Arial" w:hAnsi="Arial" w:cs="Arial"/>
          <w:sz w:val="20"/>
          <w:szCs w:val="20"/>
        </w:rPr>
        <w:t xml:space="preserve"> </w:t>
      </w:r>
      <w:r w:rsidRPr="00192736">
        <w:rPr>
          <w:rFonts w:ascii="Arial" w:hAnsi="Arial" w:cs="Arial"/>
          <w:sz w:val="20"/>
          <w:szCs w:val="20"/>
        </w:rPr>
        <w:t>p</w:t>
      </w:r>
      <w:r w:rsidR="00F60F8E" w:rsidRPr="00192736">
        <w:rPr>
          <w:rFonts w:ascii="Arial" w:hAnsi="Arial" w:cs="Arial"/>
          <w:sz w:val="20"/>
          <w:szCs w:val="20"/>
        </w:rPr>
        <w:t>ence</w:t>
      </w:r>
      <w:r w:rsidRPr="00192736">
        <w:rPr>
          <w:rFonts w:ascii="Arial" w:hAnsi="Arial" w:cs="Arial"/>
          <w:sz w:val="20"/>
          <w:szCs w:val="20"/>
        </w:rPr>
        <w:t xml:space="preserve"> on </w:t>
      </w:r>
      <w:r w:rsidR="00095DCF">
        <w:rPr>
          <w:rFonts w:ascii="Arial" w:hAnsi="Arial" w:cs="Arial"/>
          <w:sz w:val="20"/>
          <w:szCs w:val="20"/>
        </w:rPr>
        <w:t>3</w:t>
      </w:r>
      <w:r w:rsidRPr="00192736">
        <w:rPr>
          <w:rFonts w:ascii="Arial" w:hAnsi="Arial" w:cs="Arial"/>
          <w:sz w:val="20"/>
          <w:szCs w:val="20"/>
        </w:rPr>
        <w:t xml:space="preserve"> </w:t>
      </w:r>
      <w:r w:rsidR="00095DCF">
        <w:rPr>
          <w:rFonts w:ascii="Arial" w:hAnsi="Arial" w:cs="Arial"/>
          <w:sz w:val="20"/>
          <w:szCs w:val="20"/>
        </w:rPr>
        <w:t>June</w:t>
      </w:r>
      <w:r w:rsidRPr="00192736">
        <w:rPr>
          <w:rFonts w:ascii="Arial" w:hAnsi="Arial" w:cs="Arial"/>
          <w:sz w:val="20"/>
          <w:szCs w:val="20"/>
        </w:rPr>
        <w:t xml:space="preserve"> 2020</w:t>
      </w:r>
      <w:r w:rsidR="000020E5" w:rsidRPr="00192736">
        <w:rPr>
          <w:rFonts w:ascii="Arial" w:hAnsi="Arial" w:cs="Arial"/>
          <w:sz w:val="20"/>
          <w:szCs w:val="20"/>
        </w:rPr>
        <w:t xml:space="preserve"> (being the date of the Placing Announcement)</w:t>
      </w:r>
      <w:r w:rsidRPr="00192736">
        <w:rPr>
          <w:rFonts w:ascii="Arial" w:hAnsi="Arial" w:cs="Arial"/>
          <w:sz w:val="20"/>
          <w:szCs w:val="20"/>
        </w:rPr>
        <w:t>.</w:t>
      </w:r>
    </w:p>
    <w:p w:rsidR="00BF550D" w:rsidRPr="00192736" w:rsidRDefault="00BF550D" w:rsidP="00FD13A3">
      <w:pPr>
        <w:spacing w:after="0" w:line="276" w:lineRule="auto"/>
        <w:jc w:val="both"/>
        <w:rPr>
          <w:rFonts w:ascii="Arial" w:hAnsi="Arial" w:cs="Arial"/>
          <w:sz w:val="20"/>
          <w:szCs w:val="20"/>
        </w:rPr>
      </w:pPr>
    </w:p>
    <w:p w:rsidR="00C63030" w:rsidRPr="00192736" w:rsidRDefault="00A639A4" w:rsidP="00FD13A3">
      <w:pPr>
        <w:spacing w:after="0" w:line="276" w:lineRule="auto"/>
        <w:jc w:val="both"/>
        <w:rPr>
          <w:rFonts w:ascii="Arial" w:hAnsi="Arial" w:cs="Arial"/>
          <w:sz w:val="20"/>
          <w:szCs w:val="20"/>
        </w:rPr>
      </w:pPr>
      <w:r w:rsidRPr="00192736">
        <w:rPr>
          <w:rFonts w:ascii="Arial" w:hAnsi="Arial" w:cs="Arial"/>
          <w:sz w:val="20"/>
          <w:szCs w:val="20"/>
        </w:rPr>
        <w:t>Application</w:t>
      </w:r>
      <w:r w:rsidR="00171008" w:rsidRPr="00192736">
        <w:rPr>
          <w:rFonts w:ascii="Arial" w:hAnsi="Arial" w:cs="Arial"/>
          <w:sz w:val="20"/>
          <w:szCs w:val="20"/>
        </w:rPr>
        <w:t>s</w:t>
      </w:r>
      <w:r w:rsidRPr="00192736">
        <w:rPr>
          <w:rFonts w:ascii="Arial" w:hAnsi="Arial" w:cs="Arial"/>
          <w:sz w:val="20"/>
          <w:szCs w:val="20"/>
        </w:rPr>
        <w:t xml:space="preserve"> </w:t>
      </w:r>
      <w:r w:rsidR="00171008" w:rsidRPr="00192736">
        <w:rPr>
          <w:rFonts w:ascii="Arial" w:hAnsi="Arial" w:cs="Arial"/>
          <w:sz w:val="20"/>
          <w:szCs w:val="20"/>
        </w:rPr>
        <w:t xml:space="preserve">have </w:t>
      </w:r>
      <w:r w:rsidRPr="00192736">
        <w:rPr>
          <w:rFonts w:ascii="Arial" w:hAnsi="Arial" w:cs="Arial"/>
          <w:sz w:val="20"/>
          <w:szCs w:val="20"/>
        </w:rPr>
        <w:t xml:space="preserve">been made </w:t>
      </w:r>
      <w:r w:rsidR="00686598" w:rsidRPr="00192736">
        <w:rPr>
          <w:rFonts w:ascii="Arial" w:eastAsia="Times New Roman" w:hAnsi="Arial" w:cs="Arial"/>
          <w:sz w:val="20"/>
          <w:szCs w:val="20"/>
          <w:lang w:eastAsia="en-GB"/>
        </w:rPr>
        <w:t>for the Placing Shares to be admitted to the premium listing segment of the Official List of the Financial Conduct Authority and to be admitted to trading on the main market for listed secu</w:t>
      </w:r>
      <w:r w:rsidR="00BD067A" w:rsidRPr="00192736">
        <w:rPr>
          <w:rFonts w:ascii="Arial" w:eastAsia="Times New Roman" w:hAnsi="Arial" w:cs="Arial"/>
          <w:sz w:val="20"/>
          <w:szCs w:val="20"/>
          <w:lang w:eastAsia="en-GB"/>
        </w:rPr>
        <w:t>rities of London Stock Exchange</w:t>
      </w:r>
      <w:r w:rsidR="00171008" w:rsidRPr="00192736">
        <w:rPr>
          <w:rFonts w:ascii="Arial" w:eastAsia="Times New Roman" w:hAnsi="Arial" w:cs="Arial"/>
          <w:sz w:val="20"/>
          <w:szCs w:val="20"/>
          <w:lang w:eastAsia="en-GB"/>
        </w:rPr>
        <w:t xml:space="preserve"> plc</w:t>
      </w:r>
      <w:r w:rsidR="000E395D" w:rsidRPr="00192736">
        <w:rPr>
          <w:rFonts w:ascii="Arial" w:eastAsia="Times New Roman" w:hAnsi="Arial" w:cs="Arial"/>
          <w:sz w:val="20"/>
          <w:szCs w:val="20"/>
          <w:lang w:eastAsia="en-GB"/>
        </w:rPr>
        <w:t xml:space="preserve"> (together, “</w:t>
      </w:r>
      <w:r w:rsidR="000E395D" w:rsidRPr="00192736">
        <w:rPr>
          <w:rFonts w:ascii="Arial" w:eastAsia="Times New Roman" w:hAnsi="Arial" w:cs="Arial"/>
          <w:b/>
          <w:bCs/>
          <w:sz w:val="20"/>
          <w:szCs w:val="20"/>
          <w:lang w:eastAsia="en-GB"/>
        </w:rPr>
        <w:t>Admission</w:t>
      </w:r>
      <w:r w:rsidR="000E395D" w:rsidRPr="00192736">
        <w:rPr>
          <w:rFonts w:ascii="Arial" w:eastAsia="Times New Roman" w:hAnsi="Arial" w:cs="Arial"/>
          <w:sz w:val="20"/>
          <w:szCs w:val="20"/>
          <w:lang w:eastAsia="en-GB"/>
        </w:rPr>
        <w:t>”)</w:t>
      </w:r>
      <w:r w:rsidRPr="00192736">
        <w:rPr>
          <w:rFonts w:ascii="Arial" w:hAnsi="Arial" w:cs="Arial"/>
          <w:sz w:val="20"/>
          <w:szCs w:val="20"/>
        </w:rPr>
        <w:t xml:space="preserve">. It is expected that </w:t>
      </w:r>
      <w:r w:rsidR="004A02F8" w:rsidRPr="00192736">
        <w:rPr>
          <w:rFonts w:ascii="Arial" w:hAnsi="Arial" w:cs="Arial"/>
          <w:sz w:val="20"/>
          <w:szCs w:val="20"/>
        </w:rPr>
        <w:t>s</w:t>
      </w:r>
      <w:r w:rsidR="000E395D" w:rsidRPr="00192736">
        <w:rPr>
          <w:rFonts w:ascii="Arial" w:hAnsi="Arial" w:cs="Arial"/>
          <w:sz w:val="20"/>
          <w:szCs w:val="20"/>
        </w:rPr>
        <w:t xml:space="preserve">ettlement for the Placing Shares and </w:t>
      </w:r>
      <w:r w:rsidRPr="00192736">
        <w:rPr>
          <w:rFonts w:ascii="Arial" w:hAnsi="Arial" w:cs="Arial"/>
          <w:sz w:val="20"/>
          <w:szCs w:val="20"/>
        </w:rPr>
        <w:t xml:space="preserve">Admission will take place </w:t>
      </w:r>
      <w:r w:rsidR="00095DCF">
        <w:rPr>
          <w:rFonts w:ascii="Arial" w:hAnsi="Arial" w:cs="Arial"/>
          <w:sz w:val="20"/>
          <w:szCs w:val="20"/>
        </w:rPr>
        <w:t>at</w:t>
      </w:r>
      <w:r w:rsidR="000E395D" w:rsidRPr="00192736">
        <w:rPr>
          <w:rFonts w:ascii="Arial" w:hAnsi="Arial" w:cs="Arial"/>
          <w:sz w:val="20"/>
          <w:szCs w:val="20"/>
        </w:rPr>
        <w:t xml:space="preserve"> </w:t>
      </w:r>
      <w:r w:rsidRPr="00192736">
        <w:rPr>
          <w:rFonts w:ascii="Arial" w:hAnsi="Arial" w:cs="Arial"/>
          <w:sz w:val="20"/>
          <w:szCs w:val="20"/>
        </w:rPr>
        <w:t xml:space="preserve">8.00 a.m. </w:t>
      </w:r>
      <w:r w:rsidR="000E395D" w:rsidRPr="00192736">
        <w:rPr>
          <w:rFonts w:ascii="Arial" w:hAnsi="Arial" w:cs="Arial"/>
          <w:sz w:val="20"/>
          <w:szCs w:val="20"/>
        </w:rPr>
        <w:t xml:space="preserve">(London time) </w:t>
      </w:r>
      <w:r w:rsidRPr="00192736">
        <w:rPr>
          <w:rFonts w:ascii="Arial" w:hAnsi="Arial" w:cs="Arial"/>
          <w:sz w:val="20"/>
          <w:szCs w:val="20"/>
        </w:rPr>
        <w:t xml:space="preserve">on </w:t>
      </w:r>
      <w:r w:rsidR="00095DCF">
        <w:rPr>
          <w:rFonts w:ascii="Arial" w:hAnsi="Arial" w:cs="Arial"/>
          <w:sz w:val="20"/>
          <w:szCs w:val="20"/>
        </w:rPr>
        <w:t>8 June</w:t>
      </w:r>
      <w:r w:rsidRPr="00192736">
        <w:rPr>
          <w:rFonts w:ascii="Arial" w:hAnsi="Arial" w:cs="Arial"/>
          <w:sz w:val="20"/>
          <w:szCs w:val="20"/>
        </w:rPr>
        <w:t xml:space="preserve"> 2020</w:t>
      </w:r>
      <w:r w:rsidR="000E395D" w:rsidRPr="00192736">
        <w:rPr>
          <w:rFonts w:ascii="Arial" w:hAnsi="Arial" w:cs="Arial"/>
          <w:sz w:val="20"/>
          <w:szCs w:val="20"/>
        </w:rPr>
        <w:t>, and that dealings in the Placing Shares will commence at that time</w:t>
      </w:r>
      <w:r w:rsidRPr="00192736">
        <w:rPr>
          <w:rFonts w:ascii="Arial" w:hAnsi="Arial" w:cs="Arial"/>
          <w:sz w:val="20"/>
          <w:szCs w:val="20"/>
        </w:rPr>
        <w:t>.</w:t>
      </w:r>
      <w:r w:rsidR="00FC383B" w:rsidRPr="00192736">
        <w:rPr>
          <w:rFonts w:ascii="Arial" w:hAnsi="Arial" w:cs="Arial"/>
          <w:sz w:val="20"/>
          <w:szCs w:val="20"/>
        </w:rPr>
        <w:t xml:space="preserve"> </w:t>
      </w:r>
      <w:r w:rsidR="00C63030" w:rsidRPr="00192736">
        <w:rPr>
          <w:rFonts w:ascii="Arial" w:hAnsi="Arial" w:cs="Arial"/>
          <w:sz w:val="20"/>
          <w:szCs w:val="20"/>
          <w:shd w:val="clear" w:color="auto" w:fill="FFFFFF"/>
        </w:rPr>
        <w:t>The Placing Shares, when issued, will be fully paid and will rank </w:t>
      </w:r>
      <w:r w:rsidR="00C63030" w:rsidRPr="00192736">
        <w:rPr>
          <w:rFonts w:ascii="Arial" w:hAnsi="Arial" w:cs="Arial"/>
          <w:i/>
          <w:iCs/>
          <w:sz w:val="20"/>
          <w:szCs w:val="20"/>
          <w:shd w:val="clear" w:color="auto" w:fill="FFFFFF"/>
        </w:rPr>
        <w:t>pari passu</w:t>
      </w:r>
      <w:r w:rsidR="00C63030" w:rsidRPr="00192736">
        <w:rPr>
          <w:rFonts w:ascii="Arial" w:hAnsi="Arial" w:cs="Arial"/>
          <w:sz w:val="20"/>
          <w:szCs w:val="20"/>
          <w:shd w:val="clear" w:color="auto" w:fill="FFFFFF"/>
        </w:rPr>
        <w:t xml:space="preserve"> in all respects with the existing </w:t>
      </w:r>
      <w:r w:rsidR="000E395D" w:rsidRPr="00192736">
        <w:rPr>
          <w:rFonts w:ascii="Arial" w:hAnsi="Arial" w:cs="Arial"/>
          <w:sz w:val="20"/>
          <w:szCs w:val="20"/>
          <w:shd w:val="clear" w:color="auto" w:fill="FFFFFF"/>
        </w:rPr>
        <w:t xml:space="preserve">issued </w:t>
      </w:r>
      <w:r w:rsidR="00C17453" w:rsidRPr="00192736">
        <w:rPr>
          <w:rFonts w:ascii="Arial" w:hAnsi="Arial" w:cs="Arial"/>
          <w:sz w:val="20"/>
          <w:szCs w:val="20"/>
          <w:shd w:val="clear" w:color="auto" w:fill="FFFFFF"/>
        </w:rPr>
        <w:t>O</w:t>
      </w:r>
      <w:r w:rsidR="00C63030" w:rsidRPr="00192736">
        <w:rPr>
          <w:rFonts w:ascii="Arial" w:hAnsi="Arial" w:cs="Arial"/>
          <w:sz w:val="20"/>
          <w:szCs w:val="20"/>
          <w:shd w:val="clear" w:color="auto" w:fill="FFFFFF"/>
        </w:rPr>
        <w:t xml:space="preserve">rdinary </w:t>
      </w:r>
      <w:r w:rsidR="00C17453" w:rsidRPr="00192736">
        <w:rPr>
          <w:rFonts w:ascii="Arial" w:hAnsi="Arial" w:cs="Arial"/>
          <w:sz w:val="20"/>
          <w:szCs w:val="20"/>
          <w:shd w:val="clear" w:color="auto" w:fill="FFFFFF"/>
        </w:rPr>
        <w:t>S</w:t>
      </w:r>
      <w:r w:rsidR="00C63030" w:rsidRPr="00192736">
        <w:rPr>
          <w:rFonts w:ascii="Arial" w:hAnsi="Arial" w:cs="Arial"/>
          <w:sz w:val="20"/>
          <w:szCs w:val="20"/>
          <w:shd w:val="clear" w:color="auto" w:fill="FFFFFF"/>
        </w:rPr>
        <w:t xml:space="preserve">hares of the Company, including, without limitation, the right to receive all dividends and other distributions declared, made or paid </w:t>
      </w:r>
      <w:r w:rsidR="000E395D" w:rsidRPr="00192736">
        <w:rPr>
          <w:rFonts w:ascii="Arial" w:hAnsi="Arial" w:cs="Arial"/>
          <w:sz w:val="20"/>
          <w:szCs w:val="20"/>
          <w:shd w:val="clear" w:color="auto" w:fill="FFFFFF"/>
        </w:rPr>
        <w:t xml:space="preserve">in respect of the </w:t>
      </w:r>
      <w:r w:rsidR="00C17453" w:rsidRPr="00192736">
        <w:rPr>
          <w:rFonts w:ascii="Arial" w:hAnsi="Arial" w:cs="Arial"/>
          <w:sz w:val="20"/>
          <w:szCs w:val="20"/>
          <w:shd w:val="clear" w:color="auto" w:fill="FFFFFF"/>
        </w:rPr>
        <w:t>O</w:t>
      </w:r>
      <w:r w:rsidR="000E395D" w:rsidRPr="00192736">
        <w:rPr>
          <w:rFonts w:ascii="Arial" w:hAnsi="Arial" w:cs="Arial"/>
          <w:sz w:val="20"/>
          <w:szCs w:val="20"/>
          <w:shd w:val="clear" w:color="auto" w:fill="FFFFFF"/>
        </w:rPr>
        <w:t xml:space="preserve">rdinary </w:t>
      </w:r>
      <w:r w:rsidR="00C17453" w:rsidRPr="00192736">
        <w:rPr>
          <w:rFonts w:ascii="Arial" w:hAnsi="Arial" w:cs="Arial"/>
          <w:sz w:val="20"/>
          <w:szCs w:val="20"/>
          <w:shd w:val="clear" w:color="auto" w:fill="FFFFFF"/>
        </w:rPr>
        <w:t>S</w:t>
      </w:r>
      <w:r w:rsidR="000E395D" w:rsidRPr="00192736">
        <w:rPr>
          <w:rFonts w:ascii="Arial" w:hAnsi="Arial" w:cs="Arial"/>
          <w:sz w:val="20"/>
          <w:szCs w:val="20"/>
          <w:shd w:val="clear" w:color="auto" w:fill="FFFFFF"/>
        </w:rPr>
        <w:t>hares after Admission</w:t>
      </w:r>
      <w:r w:rsidR="00C63030" w:rsidRPr="00192736">
        <w:rPr>
          <w:rFonts w:ascii="Arial" w:hAnsi="Arial" w:cs="Arial"/>
          <w:sz w:val="20"/>
          <w:szCs w:val="20"/>
          <w:shd w:val="clear" w:color="auto" w:fill="FFFFFF"/>
        </w:rPr>
        <w:t>.</w:t>
      </w:r>
    </w:p>
    <w:p w:rsidR="00BF550D" w:rsidRPr="00192736" w:rsidRDefault="00BF550D" w:rsidP="00FD13A3">
      <w:pPr>
        <w:spacing w:after="0" w:line="276" w:lineRule="auto"/>
        <w:jc w:val="both"/>
        <w:rPr>
          <w:rFonts w:ascii="Arial" w:hAnsi="Arial" w:cs="Arial"/>
          <w:sz w:val="20"/>
          <w:szCs w:val="20"/>
        </w:rPr>
      </w:pPr>
    </w:p>
    <w:p w:rsidR="006A3642" w:rsidRPr="00192736" w:rsidRDefault="00F44748" w:rsidP="00FD13A3">
      <w:pPr>
        <w:spacing w:after="0" w:line="276" w:lineRule="auto"/>
        <w:jc w:val="both"/>
        <w:rPr>
          <w:rFonts w:ascii="Arial" w:hAnsi="Arial" w:cs="Arial"/>
          <w:sz w:val="20"/>
          <w:szCs w:val="20"/>
        </w:rPr>
      </w:pPr>
      <w:r w:rsidRPr="00192736">
        <w:rPr>
          <w:rFonts w:ascii="Arial" w:hAnsi="Arial" w:cs="Arial"/>
          <w:sz w:val="20"/>
          <w:szCs w:val="20"/>
        </w:rPr>
        <w:t>The Placing is conditional upon, amongst other things, Admission becoming effective</w:t>
      </w:r>
      <w:r w:rsidR="009C7B40" w:rsidRPr="00192736">
        <w:rPr>
          <w:rFonts w:ascii="Arial" w:hAnsi="Arial" w:cs="Arial"/>
          <w:sz w:val="20"/>
          <w:szCs w:val="20"/>
        </w:rPr>
        <w:t xml:space="preserve"> and</w:t>
      </w:r>
      <w:r w:rsidRPr="00192736">
        <w:rPr>
          <w:rFonts w:ascii="Arial" w:hAnsi="Arial" w:cs="Arial"/>
          <w:sz w:val="20"/>
          <w:szCs w:val="20"/>
        </w:rPr>
        <w:t xml:space="preserve"> the Placing Agreement not being terminated in accordance with its terms.</w:t>
      </w:r>
    </w:p>
    <w:p w:rsidR="00BF550D" w:rsidRPr="00192736" w:rsidRDefault="00BF550D" w:rsidP="00FD13A3">
      <w:pPr>
        <w:spacing w:after="0" w:line="276" w:lineRule="auto"/>
        <w:jc w:val="both"/>
        <w:rPr>
          <w:rFonts w:ascii="Arial" w:hAnsi="Arial" w:cs="Arial"/>
          <w:b/>
          <w:sz w:val="20"/>
          <w:szCs w:val="20"/>
        </w:rPr>
      </w:pPr>
    </w:p>
    <w:p w:rsidR="00F44748" w:rsidRPr="00192736" w:rsidRDefault="00F44748" w:rsidP="00FD13A3">
      <w:pPr>
        <w:spacing w:after="0" w:line="276" w:lineRule="auto"/>
        <w:jc w:val="both"/>
        <w:rPr>
          <w:rFonts w:ascii="Arial" w:hAnsi="Arial" w:cs="Arial"/>
          <w:b/>
          <w:sz w:val="20"/>
          <w:szCs w:val="20"/>
        </w:rPr>
      </w:pPr>
      <w:r w:rsidRPr="00192736">
        <w:rPr>
          <w:rFonts w:ascii="Arial" w:hAnsi="Arial" w:cs="Arial"/>
          <w:b/>
          <w:sz w:val="20"/>
          <w:szCs w:val="20"/>
        </w:rPr>
        <w:t>Total voting rights</w:t>
      </w:r>
    </w:p>
    <w:p w:rsidR="00BF550D" w:rsidRPr="00192736" w:rsidRDefault="00BF550D" w:rsidP="00FD13A3">
      <w:pPr>
        <w:spacing w:after="0" w:line="276" w:lineRule="auto"/>
        <w:jc w:val="both"/>
        <w:rPr>
          <w:rFonts w:ascii="Arial" w:hAnsi="Arial" w:cs="Arial"/>
          <w:sz w:val="20"/>
          <w:szCs w:val="20"/>
        </w:rPr>
      </w:pPr>
    </w:p>
    <w:p w:rsidR="006A3642" w:rsidRPr="00192736" w:rsidRDefault="00F44748" w:rsidP="00FD13A3">
      <w:pPr>
        <w:spacing w:after="0" w:line="276" w:lineRule="auto"/>
        <w:jc w:val="both"/>
        <w:rPr>
          <w:rFonts w:ascii="Arial" w:hAnsi="Arial" w:cs="Arial"/>
          <w:sz w:val="20"/>
          <w:szCs w:val="20"/>
        </w:rPr>
      </w:pPr>
      <w:r w:rsidRPr="00192736">
        <w:rPr>
          <w:rFonts w:ascii="Arial" w:hAnsi="Arial" w:cs="Arial"/>
          <w:sz w:val="20"/>
          <w:szCs w:val="20"/>
        </w:rPr>
        <w:t xml:space="preserve">Following Admission, the Company will have </w:t>
      </w:r>
      <w:r w:rsidR="00095DCF">
        <w:rPr>
          <w:rFonts w:ascii="Arial" w:hAnsi="Arial" w:cs="Arial"/>
          <w:sz w:val="20"/>
          <w:szCs w:val="20"/>
        </w:rPr>
        <w:t>108,010,960</w:t>
      </w:r>
      <w:r w:rsidR="00306B68" w:rsidRPr="00192736">
        <w:rPr>
          <w:rFonts w:ascii="Arial" w:hAnsi="Arial" w:cs="Arial"/>
          <w:sz w:val="20"/>
          <w:szCs w:val="20"/>
        </w:rPr>
        <w:t xml:space="preserve"> </w:t>
      </w:r>
      <w:r w:rsidR="00C17453" w:rsidRPr="00192736">
        <w:rPr>
          <w:rFonts w:ascii="Arial" w:hAnsi="Arial" w:cs="Arial"/>
          <w:sz w:val="20"/>
          <w:szCs w:val="20"/>
        </w:rPr>
        <w:t>O</w:t>
      </w:r>
      <w:r w:rsidRPr="00192736">
        <w:rPr>
          <w:rFonts w:ascii="Arial" w:hAnsi="Arial" w:cs="Arial"/>
          <w:sz w:val="20"/>
          <w:szCs w:val="20"/>
        </w:rPr>
        <w:t xml:space="preserve">rdinary </w:t>
      </w:r>
      <w:r w:rsidR="00C17453" w:rsidRPr="00192736">
        <w:rPr>
          <w:rFonts w:ascii="Arial" w:hAnsi="Arial" w:cs="Arial"/>
          <w:sz w:val="20"/>
          <w:szCs w:val="20"/>
        </w:rPr>
        <w:t>S</w:t>
      </w:r>
      <w:r w:rsidRPr="00192736">
        <w:rPr>
          <w:rFonts w:ascii="Arial" w:hAnsi="Arial" w:cs="Arial"/>
          <w:sz w:val="20"/>
          <w:szCs w:val="20"/>
        </w:rPr>
        <w:t xml:space="preserve">hares in issue. There are no </w:t>
      </w:r>
      <w:r w:rsidR="00C17453" w:rsidRPr="00192736">
        <w:rPr>
          <w:rFonts w:ascii="Arial" w:hAnsi="Arial" w:cs="Arial"/>
          <w:sz w:val="20"/>
          <w:szCs w:val="20"/>
        </w:rPr>
        <w:t>O</w:t>
      </w:r>
      <w:r w:rsidRPr="00192736">
        <w:rPr>
          <w:rFonts w:ascii="Arial" w:hAnsi="Arial" w:cs="Arial"/>
          <w:sz w:val="20"/>
          <w:szCs w:val="20"/>
        </w:rPr>
        <w:t xml:space="preserve">rdinary </w:t>
      </w:r>
      <w:r w:rsidR="00C17453" w:rsidRPr="00192736">
        <w:rPr>
          <w:rFonts w:ascii="Arial" w:hAnsi="Arial" w:cs="Arial"/>
          <w:sz w:val="20"/>
          <w:szCs w:val="20"/>
        </w:rPr>
        <w:t>S</w:t>
      </w:r>
      <w:r w:rsidRPr="00192736">
        <w:rPr>
          <w:rFonts w:ascii="Arial" w:hAnsi="Arial" w:cs="Arial"/>
          <w:sz w:val="20"/>
          <w:szCs w:val="20"/>
        </w:rPr>
        <w:t>hares held in treasury. Therefore, the Company hereby confirms that</w:t>
      </w:r>
      <w:r w:rsidR="009C7B40" w:rsidRPr="00192736">
        <w:rPr>
          <w:rFonts w:ascii="Arial" w:hAnsi="Arial" w:cs="Arial"/>
          <w:sz w:val="20"/>
          <w:szCs w:val="20"/>
        </w:rPr>
        <w:t>,</w:t>
      </w:r>
      <w:r w:rsidRPr="00192736">
        <w:rPr>
          <w:rFonts w:ascii="Arial" w:hAnsi="Arial" w:cs="Arial"/>
          <w:sz w:val="20"/>
          <w:szCs w:val="20"/>
        </w:rPr>
        <w:t xml:space="preserve"> </w:t>
      </w:r>
      <w:r w:rsidR="009C7B40" w:rsidRPr="00192736">
        <w:rPr>
          <w:rFonts w:ascii="Arial" w:hAnsi="Arial" w:cs="Arial"/>
          <w:sz w:val="20"/>
          <w:szCs w:val="20"/>
        </w:rPr>
        <w:t xml:space="preserve">following Admission, </w:t>
      </w:r>
      <w:r w:rsidRPr="00192736">
        <w:rPr>
          <w:rFonts w:ascii="Arial" w:hAnsi="Arial" w:cs="Arial"/>
          <w:sz w:val="20"/>
          <w:szCs w:val="20"/>
        </w:rPr>
        <w:t>the total number of voting rights in the Company will</w:t>
      </w:r>
      <w:r w:rsidR="00306B68" w:rsidRPr="00192736">
        <w:rPr>
          <w:rFonts w:ascii="Arial" w:hAnsi="Arial" w:cs="Arial"/>
          <w:sz w:val="20"/>
          <w:szCs w:val="20"/>
        </w:rPr>
        <w:t xml:space="preserve"> be </w:t>
      </w:r>
      <w:r w:rsidR="00BA049B">
        <w:rPr>
          <w:rFonts w:ascii="Arial" w:hAnsi="Arial" w:cs="Arial"/>
          <w:sz w:val="20"/>
          <w:szCs w:val="20"/>
        </w:rPr>
        <w:t>108,010,960</w:t>
      </w:r>
      <w:r w:rsidRPr="00192736">
        <w:rPr>
          <w:rFonts w:ascii="Arial" w:hAnsi="Arial" w:cs="Arial"/>
          <w:sz w:val="20"/>
          <w:szCs w:val="20"/>
        </w:rPr>
        <w:t>. This figure may be used by shareholders as the denominator for the calculations by which they will determine if they are required to notify their interest in, or a change to their interest in, the Company under the FCA's Disclosure Guidance and Transparency Rules.</w:t>
      </w:r>
      <w:r w:rsidR="00BD067A" w:rsidRPr="00192736">
        <w:rPr>
          <w:rFonts w:ascii="Arial" w:hAnsi="Arial" w:cs="Arial"/>
          <w:sz w:val="20"/>
          <w:szCs w:val="20"/>
        </w:rPr>
        <w:t xml:space="preserve"> </w:t>
      </w:r>
    </w:p>
    <w:p w:rsidR="00BF550D" w:rsidRDefault="00BF550D" w:rsidP="00FD13A3">
      <w:pPr>
        <w:pStyle w:val="dx"/>
        <w:spacing w:before="0" w:beforeAutospacing="0" w:after="0" w:afterAutospacing="0" w:line="276" w:lineRule="auto"/>
        <w:jc w:val="both"/>
        <w:rPr>
          <w:rFonts w:ascii="Arial" w:eastAsiaTheme="minorHAnsi" w:hAnsi="Arial" w:cs="Arial"/>
          <w:b/>
          <w:sz w:val="20"/>
          <w:szCs w:val="20"/>
          <w:lang w:eastAsia="en-US"/>
        </w:rPr>
      </w:pPr>
    </w:p>
    <w:p w:rsidR="00730AEE" w:rsidRPr="00730AEE" w:rsidRDefault="00730AEE" w:rsidP="00FD13A3">
      <w:pPr>
        <w:pStyle w:val="dx"/>
        <w:spacing w:before="0" w:beforeAutospacing="0" w:after="0" w:afterAutospacing="0" w:line="276" w:lineRule="auto"/>
        <w:jc w:val="both"/>
        <w:rPr>
          <w:rFonts w:ascii="Arial" w:eastAsiaTheme="minorHAnsi" w:hAnsi="Arial" w:cs="Arial"/>
          <w:sz w:val="20"/>
          <w:szCs w:val="20"/>
          <w:lang w:eastAsia="en-US"/>
        </w:rPr>
      </w:pPr>
      <w:r w:rsidRPr="00730AEE">
        <w:rPr>
          <w:rFonts w:ascii="Arial" w:eastAsiaTheme="minorHAnsi" w:hAnsi="Arial" w:cs="Arial"/>
          <w:sz w:val="20"/>
          <w:szCs w:val="20"/>
          <w:lang w:eastAsia="en-US"/>
        </w:rPr>
        <w:t>Capitalised terms used</w:t>
      </w:r>
      <w:r w:rsidR="00C34092">
        <w:rPr>
          <w:rFonts w:ascii="Arial" w:eastAsiaTheme="minorHAnsi" w:hAnsi="Arial" w:cs="Arial"/>
          <w:sz w:val="20"/>
          <w:szCs w:val="20"/>
          <w:lang w:eastAsia="en-US"/>
        </w:rPr>
        <w:t xml:space="preserve"> in this announcement</w:t>
      </w:r>
      <w:r w:rsidRPr="00730AEE">
        <w:rPr>
          <w:rFonts w:ascii="Arial" w:eastAsiaTheme="minorHAnsi" w:hAnsi="Arial" w:cs="Arial"/>
          <w:sz w:val="20"/>
          <w:szCs w:val="20"/>
          <w:lang w:eastAsia="en-US"/>
        </w:rPr>
        <w:t xml:space="preserve"> have the meanings given to them in the Placing Announcement released </w:t>
      </w:r>
      <w:r w:rsidR="00DB1042">
        <w:rPr>
          <w:rFonts w:ascii="Arial" w:eastAsiaTheme="minorHAnsi" w:hAnsi="Arial" w:cs="Arial"/>
          <w:sz w:val="20"/>
          <w:szCs w:val="20"/>
          <w:lang w:eastAsia="en-US"/>
        </w:rPr>
        <w:t>yesterday</w:t>
      </w:r>
      <w:r w:rsidRPr="00730AEE">
        <w:rPr>
          <w:rFonts w:ascii="Arial" w:eastAsiaTheme="minorHAnsi" w:hAnsi="Arial" w:cs="Arial"/>
          <w:sz w:val="20"/>
          <w:szCs w:val="20"/>
          <w:lang w:eastAsia="en-US"/>
        </w:rPr>
        <w:t>, unless the context provides otherwise.</w:t>
      </w:r>
    </w:p>
    <w:p w:rsidR="00BF550D" w:rsidRDefault="00BF550D" w:rsidP="00BF550D">
      <w:pPr>
        <w:spacing w:after="0" w:line="240" w:lineRule="auto"/>
        <w:jc w:val="both"/>
        <w:rPr>
          <w:rFonts w:ascii="Arial" w:hAnsi="Arial" w:cs="Arial"/>
          <w:sz w:val="20"/>
          <w:szCs w:val="20"/>
        </w:rPr>
      </w:pPr>
    </w:p>
    <w:p w:rsidR="00FD13A3" w:rsidRPr="00192736" w:rsidRDefault="00FD13A3" w:rsidP="00BF550D">
      <w:pPr>
        <w:spacing w:after="0" w:line="240" w:lineRule="auto"/>
        <w:jc w:val="both"/>
        <w:rPr>
          <w:rFonts w:ascii="Arial" w:hAnsi="Arial" w:cs="Arial"/>
          <w:sz w:val="20"/>
          <w:szCs w:val="20"/>
        </w:rPr>
      </w:pPr>
    </w:p>
    <w:p w:rsidR="00A639A4" w:rsidRPr="00192736" w:rsidRDefault="00A639A4" w:rsidP="00FD13A3">
      <w:pPr>
        <w:shd w:val="clear" w:color="auto" w:fill="FFFFFF"/>
        <w:spacing w:after="0" w:line="276" w:lineRule="auto"/>
        <w:jc w:val="both"/>
        <w:rPr>
          <w:rFonts w:ascii="Arial" w:hAnsi="Arial" w:cs="Arial"/>
          <w:i/>
          <w:iCs/>
          <w:sz w:val="20"/>
          <w:szCs w:val="20"/>
        </w:rPr>
      </w:pPr>
      <w:r w:rsidRPr="00192736">
        <w:rPr>
          <w:rFonts w:ascii="Arial" w:hAnsi="Arial" w:cs="Arial"/>
          <w:i/>
          <w:iCs/>
          <w:sz w:val="20"/>
          <w:szCs w:val="20"/>
        </w:rPr>
        <w:t xml:space="preserve">This announcement is released by </w:t>
      </w:r>
      <w:r w:rsidR="0066707D">
        <w:rPr>
          <w:rFonts w:ascii="Arial" w:hAnsi="Arial" w:cs="Arial"/>
          <w:i/>
          <w:iCs/>
          <w:sz w:val="20"/>
          <w:szCs w:val="20"/>
        </w:rPr>
        <w:t>Dechra Pharmaceuticals PLC</w:t>
      </w:r>
      <w:r w:rsidR="0066707D" w:rsidRPr="00192736">
        <w:rPr>
          <w:rFonts w:ascii="Arial" w:hAnsi="Arial" w:cs="Arial"/>
          <w:i/>
          <w:iCs/>
          <w:sz w:val="20"/>
          <w:szCs w:val="20"/>
        </w:rPr>
        <w:t xml:space="preserve"> </w:t>
      </w:r>
      <w:r w:rsidRPr="00192736">
        <w:rPr>
          <w:rFonts w:ascii="Arial" w:hAnsi="Arial" w:cs="Arial"/>
          <w:i/>
          <w:iCs/>
          <w:sz w:val="20"/>
          <w:szCs w:val="20"/>
        </w:rPr>
        <w:t>and contains inside information for the purposes of Article 7 of the Market Abuse Regulation (EU) 596/2014 (MAR), and is disclosed in accordance with the Company's obligations under Article 17 of MAR.</w:t>
      </w:r>
    </w:p>
    <w:p w:rsidR="00BF550D" w:rsidRPr="00192736" w:rsidRDefault="00BF550D" w:rsidP="00FD13A3">
      <w:pPr>
        <w:shd w:val="clear" w:color="auto" w:fill="FFFFFF"/>
        <w:spacing w:after="0" w:line="276" w:lineRule="auto"/>
        <w:jc w:val="both"/>
        <w:rPr>
          <w:rFonts w:ascii="Arial" w:eastAsia="Times New Roman" w:hAnsi="Arial" w:cs="Arial"/>
          <w:sz w:val="20"/>
          <w:szCs w:val="20"/>
          <w:lang w:eastAsia="en-GB"/>
        </w:rPr>
      </w:pPr>
    </w:p>
    <w:p w:rsidR="00DC5D01" w:rsidRDefault="00DC5D01" w:rsidP="00FD13A3">
      <w:pPr>
        <w:pStyle w:val="fv"/>
        <w:shd w:val="clear" w:color="auto" w:fill="FFFFFF"/>
        <w:spacing w:before="0" w:beforeAutospacing="0" w:line="276" w:lineRule="auto"/>
        <w:jc w:val="both"/>
        <w:rPr>
          <w:rFonts w:ascii="Arial" w:hAnsi="Arial" w:cs="Arial"/>
          <w:i/>
          <w:iCs/>
          <w:color w:val="212721"/>
          <w:sz w:val="20"/>
          <w:szCs w:val="20"/>
        </w:rPr>
      </w:pPr>
      <w:r>
        <w:rPr>
          <w:rFonts w:ascii="Arial" w:hAnsi="Arial" w:cs="Arial"/>
          <w:i/>
          <w:iCs/>
          <w:color w:val="212721"/>
          <w:sz w:val="20"/>
          <w:szCs w:val="20"/>
        </w:rPr>
        <w:t>For the purposes of MAR and Article 2 of Commission Implementing Regulation (EU) 2016/1055, </w:t>
      </w:r>
      <w:r>
        <w:rPr>
          <w:rStyle w:val="ex"/>
          <w:rFonts w:ascii="Arial" w:hAnsi="Arial" w:cs="Arial"/>
          <w:i/>
          <w:iCs/>
          <w:color w:val="212721"/>
          <w:sz w:val="20"/>
          <w:szCs w:val="20"/>
        </w:rPr>
        <w:t xml:space="preserve">the person responsible for arranging for the release of this </w:t>
      </w:r>
      <w:r w:rsidR="005267B2">
        <w:rPr>
          <w:rStyle w:val="ex"/>
          <w:rFonts w:ascii="Arial" w:hAnsi="Arial" w:cs="Arial"/>
          <w:i/>
          <w:iCs/>
          <w:color w:val="212721"/>
          <w:sz w:val="20"/>
          <w:szCs w:val="20"/>
        </w:rPr>
        <w:t>a</w:t>
      </w:r>
      <w:r>
        <w:rPr>
          <w:rStyle w:val="ex"/>
          <w:rFonts w:ascii="Arial" w:hAnsi="Arial" w:cs="Arial"/>
          <w:i/>
          <w:iCs/>
          <w:color w:val="212721"/>
          <w:sz w:val="20"/>
          <w:szCs w:val="20"/>
        </w:rPr>
        <w:t>nnouncement on behalf of the Company is Paul Sandland, Chief Financial Officer</w:t>
      </w:r>
      <w:r>
        <w:rPr>
          <w:rFonts w:ascii="Arial" w:hAnsi="Arial" w:cs="Arial"/>
          <w:i/>
          <w:iCs/>
          <w:color w:val="212721"/>
          <w:sz w:val="20"/>
          <w:szCs w:val="20"/>
        </w:rPr>
        <w:t>.</w:t>
      </w:r>
    </w:p>
    <w:p w:rsidR="00BF550D" w:rsidRPr="00192736" w:rsidRDefault="00BF550D" w:rsidP="00BF550D">
      <w:pPr>
        <w:spacing w:after="0" w:line="240" w:lineRule="auto"/>
        <w:jc w:val="both"/>
        <w:rPr>
          <w:rFonts w:ascii="Arial" w:eastAsia="Times New Roman" w:hAnsi="Arial" w:cs="Arial"/>
          <w:b/>
          <w:sz w:val="20"/>
          <w:szCs w:val="20"/>
          <w:lang w:eastAsia="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062"/>
      </w:tblGrid>
      <w:tr w:rsidR="00FD13A3" w:rsidRPr="00192736" w:rsidTr="009E1049">
        <w:tc>
          <w:tcPr>
            <w:tcW w:w="6096" w:type="dxa"/>
            <w:shd w:val="clear" w:color="auto" w:fill="FFFFFF"/>
          </w:tcPr>
          <w:p w:rsidR="00FD13A3" w:rsidRPr="00192736" w:rsidRDefault="00FD13A3" w:rsidP="000347F0">
            <w:pPr>
              <w:ind w:left="42"/>
              <w:jc w:val="both"/>
              <w:rPr>
                <w:rFonts w:ascii="Arial" w:eastAsia="Times New Roman" w:hAnsi="Arial" w:cs="Arial"/>
                <w:b/>
                <w:sz w:val="20"/>
                <w:szCs w:val="20"/>
                <w:lang w:eastAsia="en-GB"/>
              </w:rPr>
            </w:pPr>
            <w:r w:rsidRPr="00192736">
              <w:rPr>
                <w:rFonts w:ascii="Arial" w:eastAsia="Times New Roman" w:hAnsi="Arial" w:cs="Arial"/>
                <w:b/>
                <w:sz w:val="20"/>
                <w:szCs w:val="20"/>
                <w:lang w:eastAsia="en-GB"/>
              </w:rPr>
              <w:t>For further information, please contact</w:t>
            </w:r>
          </w:p>
          <w:p w:rsidR="00FD13A3" w:rsidRDefault="00FD13A3" w:rsidP="00BA049B">
            <w:pPr>
              <w:autoSpaceDE w:val="0"/>
              <w:autoSpaceDN w:val="0"/>
              <w:adjustRightInd w:val="0"/>
              <w:jc w:val="both"/>
              <w:rPr>
                <w:rFonts w:ascii="Arial" w:hAnsi="Arial" w:cs="Arial"/>
                <w:b/>
                <w:sz w:val="20"/>
                <w:szCs w:val="20"/>
              </w:rPr>
            </w:pPr>
          </w:p>
        </w:tc>
        <w:tc>
          <w:tcPr>
            <w:tcW w:w="3062" w:type="dxa"/>
            <w:shd w:val="clear" w:color="auto" w:fill="FFFFFF"/>
          </w:tcPr>
          <w:p w:rsidR="00FD13A3" w:rsidRPr="0028743A" w:rsidRDefault="00FD13A3" w:rsidP="00BA049B">
            <w:pPr>
              <w:rPr>
                <w:rFonts w:ascii="Arial" w:hAnsi="Arial" w:cs="Arial"/>
                <w:sz w:val="20"/>
                <w:szCs w:val="20"/>
              </w:rPr>
            </w:pPr>
          </w:p>
        </w:tc>
      </w:tr>
      <w:tr w:rsidR="00BA049B" w:rsidRPr="00192736" w:rsidTr="009E1049">
        <w:tc>
          <w:tcPr>
            <w:tcW w:w="6096" w:type="dxa"/>
            <w:shd w:val="clear" w:color="auto" w:fill="FFFFFF"/>
          </w:tcPr>
          <w:p w:rsidR="00BA049B" w:rsidRPr="00025663" w:rsidRDefault="005267B2" w:rsidP="009E1049">
            <w:pPr>
              <w:autoSpaceDE w:val="0"/>
              <w:autoSpaceDN w:val="0"/>
              <w:adjustRightInd w:val="0"/>
              <w:ind w:left="42"/>
              <w:jc w:val="both"/>
              <w:rPr>
                <w:rFonts w:ascii="Arial" w:hAnsi="Arial" w:cs="Arial"/>
                <w:b/>
                <w:sz w:val="20"/>
                <w:szCs w:val="20"/>
              </w:rPr>
            </w:pPr>
            <w:r>
              <w:rPr>
                <w:rFonts w:ascii="Arial" w:hAnsi="Arial" w:cs="Arial"/>
                <w:b/>
                <w:sz w:val="20"/>
                <w:szCs w:val="20"/>
              </w:rPr>
              <w:t xml:space="preserve">Dechra </w:t>
            </w:r>
            <w:r w:rsidR="0066707D">
              <w:rPr>
                <w:rFonts w:ascii="Arial" w:hAnsi="Arial" w:cs="Arial"/>
                <w:b/>
                <w:sz w:val="20"/>
                <w:szCs w:val="20"/>
              </w:rPr>
              <w:t xml:space="preserve">Pharmaceuticals </w:t>
            </w:r>
            <w:r w:rsidR="00BA049B">
              <w:rPr>
                <w:rFonts w:ascii="Arial" w:hAnsi="Arial" w:cs="Arial"/>
                <w:b/>
                <w:sz w:val="20"/>
                <w:szCs w:val="20"/>
              </w:rPr>
              <w:t>PLC</w:t>
            </w:r>
          </w:p>
          <w:p w:rsidR="00BA049B" w:rsidRDefault="00BA049B" w:rsidP="009E1049">
            <w:pPr>
              <w:spacing w:after="60"/>
              <w:ind w:left="42"/>
              <w:rPr>
                <w:rFonts w:ascii="Arial" w:hAnsi="Arial" w:cs="Arial"/>
                <w:sz w:val="20"/>
                <w:szCs w:val="20"/>
              </w:rPr>
            </w:pPr>
            <w:r>
              <w:rPr>
                <w:rFonts w:ascii="Arial" w:hAnsi="Arial" w:cs="Arial"/>
                <w:sz w:val="20"/>
                <w:szCs w:val="20"/>
              </w:rPr>
              <w:t>Ian Page</w:t>
            </w:r>
            <w:r w:rsidRPr="000D130E">
              <w:rPr>
                <w:rFonts w:ascii="Arial" w:hAnsi="Arial" w:cs="Arial"/>
                <w:sz w:val="20"/>
                <w:szCs w:val="20"/>
              </w:rPr>
              <w:t xml:space="preserve">, </w:t>
            </w:r>
            <w:r>
              <w:rPr>
                <w:rFonts w:ascii="Arial" w:hAnsi="Arial" w:cs="Arial"/>
                <w:sz w:val="20"/>
                <w:szCs w:val="20"/>
              </w:rPr>
              <w:t>Chief Executive Officer</w:t>
            </w:r>
          </w:p>
          <w:p w:rsidR="00BA049B" w:rsidRPr="00192736" w:rsidRDefault="00BA049B" w:rsidP="009E1049">
            <w:pPr>
              <w:ind w:left="42"/>
              <w:rPr>
                <w:rFonts w:ascii="Arial" w:hAnsi="Arial" w:cs="Arial"/>
                <w:b/>
                <w:sz w:val="20"/>
                <w:szCs w:val="20"/>
              </w:rPr>
            </w:pPr>
            <w:r>
              <w:rPr>
                <w:rFonts w:ascii="Arial" w:hAnsi="Arial" w:cs="Arial"/>
                <w:sz w:val="20"/>
                <w:szCs w:val="20"/>
              </w:rPr>
              <w:t xml:space="preserve">Paul Sandland, Chief Financial Officer </w:t>
            </w:r>
          </w:p>
        </w:tc>
        <w:tc>
          <w:tcPr>
            <w:tcW w:w="3062" w:type="dxa"/>
            <w:shd w:val="clear" w:color="auto" w:fill="FFFFFF"/>
          </w:tcPr>
          <w:p w:rsidR="00BA049B" w:rsidRPr="00192736" w:rsidRDefault="00BA049B" w:rsidP="00BA049B">
            <w:pPr>
              <w:rPr>
                <w:rFonts w:ascii="Arial" w:hAnsi="Arial" w:cs="Arial"/>
                <w:sz w:val="20"/>
                <w:szCs w:val="20"/>
              </w:rPr>
            </w:pPr>
            <w:r w:rsidRPr="0028743A">
              <w:rPr>
                <w:rFonts w:ascii="Arial" w:hAnsi="Arial" w:cs="Arial"/>
                <w:sz w:val="20"/>
                <w:szCs w:val="20"/>
              </w:rPr>
              <w:t xml:space="preserve">Office: +44 (0) </w:t>
            </w:r>
            <w:r w:rsidR="005267B2" w:rsidRPr="005267B2">
              <w:rPr>
                <w:rFonts w:ascii="Arial" w:hAnsi="Arial" w:cs="Arial"/>
                <w:sz w:val="20"/>
                <w:szCs w:val="20"/>
              </w:rPr>
              <w:t>1606 814 730</w:t>
            </w:r>
          </w:p>
        </w:tc>
      </w:tr>
      <w:tr w:rsidR="00BA049B" w:rsidRPr="00192736" w:rsidTr="009E1049">
        <w:tc>
          <w:tcPr>
            <w:tcW w:w="6096" w:type="dxa"/>
          </w:tcPr>
          <w:p w:rsidR="00BA049B" w:rsidRPr="00192736" w:rsidRDefault="00BA049B" w:rsidP="009E1049">
            <w:pPr>
              <w:ind w:left="42"/>
              <w:rPr>
                <w:rFonts w:ascii="Arial" w:hAnsi="Arial" w:cs="Arial"/>
                <w:sz w:val="20"/>
                <w:szCs w:val="20"/>
              </w:rPr>
            </w:pPr>
          </w:p>
        </w:tc>
        <w:tc>
          <w:tcPr>
            <w:tcW w:w="3062" w:type="dxa"/>
          </w:tcPr>
          <w:p w:rsidR="00BA049B" w:rsidRPr="00192736" w:rsidRDefault="00BA049B" w:rsidP="00BA049B">
            <w:pPr>
              <w:rPr>
                <w:rFonts w:ascii="Arial" w:hAnsi="Arial" w:cs="Arial"/>
                <w:sz w:val="20"/>
                <w:szCs w:val="20"/>
              </w:rPr>
            </w:pPr>
          </w:p>
        </w:tc>
      </w:tr>
      <w:tr w:rsidR="00BA049B" w:rsidRPr="00192736" w:rsidTr="009E1049">
        <w:tc>
          <w:tcPr>
            <w:tcW w:w="6096" w:type="dxa"/>
          </w:tcPr>
          <w:p w:rsidR="00BA049B" w:rsidRPr="00025663" w:rsidRDefault="00BA049B" w:rsidP="009E1049">
            <w:pPr>
              <w:autoSpaceDE w:val="0"/>
              <w:autoSpaceDN w:val="0"/>
              <w:adjustRightInd w:val="0"/>
              <w:ind w:left="42"/>
              <w:jc w:val="both"/>
              <w:rPr>
                <w:rFonts w:ascii="Arial" w:hAnsi="Arial" w:cs="Arial"/>
                <w:sz w:val="20"/>
                <w:szCs w:val="20"/>
              </w:rPr>
            </w:pPr>
          </w:p>
          <w:p w:rsidR="009E1049" w:rsidRDefault="00BA049B" w:rsidP="009E1049">
            <w:pPr>
              <w:autoSpaceDE w:val="0"/>
              <w:autoSpaceDN w:val="0"/>
              <w:adjustRightInd w:val="0"/>
              <w:ind w:left="42"/>
              <w:jc w:val="both"/>
              <w:rPr>
                <w:rFonts w:ascii="Arial" w:hAnsi="Arial" w:cs="Arial"/>
                <w:b/>
                <w:sz w:val="20"/>
                <w:szCs w:val="20"/>
              </w:rPr>
            </w:pPr>
            <w:r w:rsidRPr="005D31C4">
              <w:rPr>
                <w:rFonts w:ascii="Arial" w:hAnsi="Arial" w:cs="Arial"/>
                <w:b/>
                <w:sz w:val="20"/>
                <w:szCs w:val="20"/>
              </w:rPr>
              <w:t>Investec Bank</w:t>
            </w:r>
            <w:r>
              <w:rPr>
                <w:rFonts w:ascii="Arial" w:hAnsi="Arial" w:cs="Arial"/>
                <w:b/>
                <w:sz w:val="20"/>
                <w:szCs w:val="20"/>
              </w:rPr>
              <w:t xml:space="preserve"> plc </w:t>
            </w:r>
          </w:p>
          <w:p w:rsidR="00BA049B" w:rsidRPr="005D31C4" w:rsidRDefault="00BA049B" w:rsidP="009E1049">
            <w:pPr>
              <w:autoSpaceDE w:val="0"/>
              <w:autoSpaceDN w:val="0"/>
              <w:adjustRightInd w:val="0"/>
              <w:ind w:left="42"/>
              <w:jc w:val="both"/>
              <w:rPr>
                <w:rFonts w:ascii="Arial" w:hAnsi="Arial" w:cs="Arial"/>
                <w:b/>
                <w:sz w:val="20"/>
                <w:szCs w:val="20"/>
              </w:rPr>
            </w:pPr>
            <w:r w:rsidRPr="0028743A">
              <w:rPr>
                <w:rFonts w:ascii="Arial" w:hAnsi="Arial" w:cs="Arial"/>
                <w:b/>
                <w:sz w:val="20"/>
                <w:szCs w:val="20"/>
              </w:rPr>
              <w:t>(</w:t>
            </w:r>
            <w:r w:rsidR="005267B2" w:rsidRPr="005267B2">
              <w:rPr>
                <w:rFonts w:ascii="Arial" w:hAnsi="Arial" w:cs="Arial"/>
                <w:b/>
                <w:sz w:val="20"/>
                <w:szCs w:val="20"/>
              </w:rPr>
              <w:t>Financial adviser, sole broker and bookrunner</w:t>
            </w:r>
            <w:r w:rsidRPr="0028743A">
              <w:rPr>
                <w:rFonts w:ascii="Arial" w:hAnsi="Arial" w:cs="Arial"/>
                <w:b/>
                <w:sz w:val="20"/>
                <w:szCs w:val="20"/>
              </w:rPr>
              <w:t>)</w:t>
            </w:r>
          </w:p>
          <w:p w:rsidR="00BA049B" w:rsidRDefault="00BA049B" w:rsidP="009E1049">
            <w:pPr>
              <w:autoSpaceDE w:val="0"/>
              <w:autoSpaceDN w:val="0"/>
              <w:adjustRightInd w:val="0"/>
              <w:ind w:left="42"/>
              <w:jc w:val="both"/>
              <w:rPr>
                <w:rFonts w:ascii="Arial" w:hAnsi="Arial" w:cs="Arial"/>
                <w:sz w:val="20"/>
                <w:szCs w:val="20"/>
              </w:rPr>
            </w:pPr>
            <w:r>
              <w:rPr>
                <w:rFonts w:ascii="Arial" w:hAnsi="Arial" w:cs="Arial"/>
                <w:sz w:val="20"/>
                <w:szCs w:val="20"/>
              </w:rPr>
              <w:t>Chris Treneman</w:t>
            </w:r>
          </w:p>
          <w:p w:rsidR="00BA049B" w:rsidRDefault="00BA049B" w:rsidP="009E1049">
            <w:pPr>
              <w:autoSpaceDE w:val="0"/>
              <w:autoSpaceDN w:val="0"/>
              <w:adjustRightInd w:val="0"/>
              <w:ind w:left="42"/>
              <w:jc w:val="both"/>
              <w:rPr>
                <w:rFonts w:ascii="Arial" w:hAnsi="Arial" w:cs="Arial"/>
                <w:sz w:val="20"/>
                <w:szCs w:val="20"/>
              </w:rPr>
            </w:pPr>
            <w:r>
              <w:rPr>
                <w:rFonts w:ascii="Arial" w:hAnsi="Arial" w:cs="Arial"/>
                <w:sz w:val="20"/>
                <w:szCs w:val="20"/>
              </w:rPr>
              <w:t>Daniel Adams</w:t>
            </w:r>
          </w:p>
          <w:p w:rsidR="00BA049B" w:rsidRPr="00192736" w:rsidRDefault="00BA049B" w:rsidP="009E1049">
            <w:pPr>
              <w:ind w:left="42"/>
              <w:rPr>
                <w:rFonts w:ascii="Arial" w:hAnsi="Arial" w:cs="Arial"/>
                <w:i/>
                <w:sz w:val="20"/>
                <w:szCs w:val="20"/>
              </w:rPr>
            </w:pPr>
            <w:r>
              <w:rPr>
                <w:rFonts w:ascii="Arial" w:hAnsi="Arial" w:cs="Arial"/>
                <w:sz w:val="20"/>
                <w:szCs w:val="20"/>
              </w:rPr>
              <w:t>Bruce Garrow</w:t>
            </w:r>
          </w:p>
        </w:tc>
        <w:tc>
          <w:tcPr>
            <w:tcW w:w="3062" w:type="dxa"/>
          </w:tcPr>
          <w:p w:rsidR="00BA049B" w:rsidRDefault="00BA049B" w:rsidP="00BA049B">
            <w:pPr>
              <w:autoSpaceDE w:val="0"/>
              <w:autoSpaceDN w:val="0"/>
              <w:adjustRightInd w:val="0"/>
              <w:jc w:val="both"/>
              <w:rPr>
                <w:rFonts w:ascii="Arial" w:hAnsi="Arial" w:cs="Arial"/>
                <w:sz w:val="20"/>
                <w:szCs w:val="20"/>
              </w:rPr>
            </w:pPr>
          </w:p>
          <w:p w:rsidR="00BA049B" w:rsidRPr="00192736" w:rsidRDefault="00BA049B" w:rsidP="00BA049B">
            <w:pPr>
              <w:rPr>
                <w:rFonts w:ascii="Arial" w:hAnsi="Arial" w:cs="Arial"/>
                <w:sz w:val="20"/>
                <w:szCs w:val="20"/>
              </w:rPr>
            </w:pPr>
            <w:r>
              <w:rPr>
                <w:rFonts w:ascii="Arial" w:hAnsi="Arial" w:cs="Arial"/>
                <w:sz w:val="20"/>
                <w:szCs w:val="20"/>
              </w:rPr>
              <w:t xml:space="preserve">Tel: </w:t>
            </w:r>
            <w:r w:rsidRPr="005D31C4">
              <w:rPr>
                <w:rFonts w:ascii="Arial" w:hAnsi="Arial" w:cs="Arial"/>
                <w:sz w:val="20"/>
                <w:szCs w:val="20"/>
              </w:rPr>
              <w:t>+44 (0)</w:t>
            </w:r>
            <w:r w:rsidR="00905687">
              <w:rPr>
                <w:rFonts w:ascii="Arial" w:hAnsi="Arial" w:cs="Arial"/>
                <w:sz w:val="20"/>
                <w:szCs w:val="20"/>
              </w:rPr>
              <w:t xml:space="preserve"> </w:t>
            </w:r>
            <w:r w:rsidRPr="005D31C4">
              <w:rPr>
                <w:rFonts w:ascii="Arial" w:hAnsi="Arial" w:cs="Arial"/>
                <w:sz w:val="20"/>
                <w:szCs w:val="20"/>
              </w:rPr>
              <w:t>20 7597 5970</w:t>
            </w:r>
          </w:p>
        </w:tc>
      </w:tr>
    </w:tbl>
    <w:p w:rsidR="00E75456" w:rsidRPr="00192736" w:rsidRDefault="00E75456" w:rsidP="00BF550D">
      <w:pPr>
        <w:spacing w:after="0" w:line="240" w:lineRule="auto"/>
        <w:jc w:val="both"/>
        <w:rPr>
          <w:rFonts w:ascii="Arial" w:hAnsi="Arial" w:cs="Arial"/>
          <w:sz w:val="20"/>
          <w:szCs w:val="20"/>
        </w:rPr>
      </w:pPr>
    </w:p>
    <w:p w:rsidR="00BA049B" w:rsidRDefault="00BA049B" w:rsidP="00FD13A3">
      <w:pPr>
        <w:shd w:val="clear" w:color="auto" w:fill="FFFFFF"/>
        <w:spacing w:after="225" w:line="276" w:lineRule="auto"/>
        <w:jc w:val="both"/>
        <w:rPr>
          <w:rFonts w:ascii="Arial" w:hAnsi="Arial"/>
          <w:b/>
          <w:sz w:val="20"/>
          <w:szCs w:val="20"/>
          <w:lang w:eastAsia="en-GB"/>
        </w:rPr>
      </w:pPr>
      <w:r w:rsidRPr="00344EC3">
        <w:rPr>
          <w:rFonts w:ascii="Arial" w:hAnsi="Arial"/>
          <w:b/>
          <w:sz w:val="20"/>
          <w:szCs w:val="20"/>
          <w:lang w:eastAsia="en-GB"/>
        </w:rPr>
        <w:t>IMPORTANT NOTICES</w:t>
      </w:r>
    </w:p>
    <w:p w:rsidR="00BA049B" w:rsidRPr="00344EC3"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 xml:space="preserve">No action has been taken by the </w:t>
      </w:r>
      <w:r>
        <w:rPr>
          <w:rFonts w:ascii="Arial" w:hAnsi="Arial"/>
          <w:sz w:val="20"/>
          <w:szCs w:val="20"/>
          <w:lang w:eastAsia="en-GB"/>
        </w:rPr>
        <w:t>C</w:t>
      </w:r>
      <w:r w:rsidRPr="00344EC3">
        <w:rPr>
          <w:rFonts w:ascii="Arial" w:hAnsi="Arial"/>
          <w:sz w:val="20"/>
          <w:szCs w:val="20"/>
          <w:lang w:eastAsia="en-GB"/>
        </w:rPr>
        <w:t>ompany</w:t>
      </w:r>
      <w:r>
        <w:rPr>
          <w:rFonts w:ascii="Arial" w:hAnsi="Arial"/>
          <w:sz w:val="20"/>
          <w:szCs w:val="20"/>
          <w:lang w:eastAsia="en-GB"/>
        </w:rPr>
        <w:t xml:space="preserve">, Investec, </w:t>
      </w:r>
      <w:r w:rsidRPr="00344EC3">
        <w:rPr>
          <w:rFonts w:ascii="Arial" w:hAnsi="Arial"/>
          <w:sz w:val="20"/>
          <w:szCs w:val="20"/>
          <w:lang w:eastAsia="en-GB"/>
        </w:rPr>
        <w:t>any of their respective Affiliates</w:t>
      </w:r>
      <w:r>
        <w:rPr>
          <w:rFonts w:ascii="Arial" w:hAnsi="Arial"/>
          <w:sz w:val="20"/>
          <w:szCs w:val="20"/>
          <w:lang w:eastAsia="en-GB"/>
        </w:rPr>
        <w:t xml:space="preserve"> or any person acting on its or their behalf</w:t>
      </w:r>
      <w:r w:rsidRPr="00344EC3">
        <w:rPr>
          <w:rFonts w:ascii="Arial" w:hAnsi="Arial"/>
          <w:sz w:val="20"/>
          <w:szCs w:val="20"/>
          <w:lang w:eastAsia="en-GB"/>
        </w:rPr>
        <w:t xml:space="preserve"> that would permit an offer of the Placing Shares or possession or distribution of this </w:t>
      </w:r>
      <w:r w:rsidR="004E75DD">
        <w:rPr>
          <w:rFonts w:ascii="Arial" w:hAnsi="Arial"/>
          <w:sz w:val="20"/>
          <w:szCs w:val="20"/>
          <w:lang w:eastAsia="en-GB"/>
        </w:rPr>
        <w:t>a</w:t>
      </w:r>
      <w:r w:rsidR="004E75DD" w:rsidRPr="00344EC3">
        <w:rPr>
          <w:rFonts w:ascii="Arial" w:hAnsi="Arial"/>
          <w:sz w:val="20"/>
          <w:szCs w:val="20"/>
          <w:lang w:eastAsia="en-GB"/>
        </w:rPr>
        <w:t xml:space="preserve">nnouncement </w:t>
      </w:r>
      <w:r w:rsidRPr="00344EC3">
        <w:rPr>
          <w:rFonts w:ascii="Arial" w:hAnsi="Arial"/>
          <w:sz w:val="20"/>
          <w:szCs w:val="20"/>
          <w:lang w:eastAsia="en-GB"/>
        </w:rPr>
        <w:t xml:space="preserve">or any other offering or publicity material relating to such Placing Shares in any jurisdiction where action for that purpose is required. </w:t>
      </w:r>
      <w:r w:rsidRPr="00344EC3">
        <w:rPr>
          <w:rFonts w:ascii="Arial" w:hAnsi="Arial"/>
          <w:sz w:val="20"/>
          <w:szCs w:val="20"/>
        </w:rPr>
        <w:t xml:space="preserve">Persons into whose possession this </w:t>
      </w:r>
      <w:r w:rsidR="004E75DD">
        <w:rPr>
          <w:rFonts w:ascii="Arial" w:hAnsi="Arial"/>
          <w:sz w:val="20"/>
          <w:szCs w:val="20"/>
        </w:rPr>
        <w:t>a</w:t>
      </w:r>
      <w:r w:rsidR="004E75DD" w:rsidRPr="00344EC3">
        <w:rPr>
          <w:rFonts w:ascii="Arial" w:hAnsi="Arial"/>
          <w:sz w:val="20"/>
          <w:szCs w:val="20"/>
        </w:rPr>
        <w:t xml:space="preserve">nnouncement </w:t>
      </w:r>
      <w:r w:rsidRPr="00344EC3">
        <w:rPr>
          <w:rFonts w:ascii="Arial" w:hAnsi="Arial"/>
          <w:sz w:val="20"/>
          <w:szCs w:val="20"/>
        </w:rPr>
        <w:t xml:space="preserve">comes are required by the Company and </w:t>
      </w:r>
      <w:r>
        <w:rPr>
          <w:rFonts w:ascii="Arial" w:hAnsi="Arial"/>
          <w:sz w:val="20"/>
          <w:szCs w:val="20"/>
          <w:lang w:eastAsia="en-GB"/>
        </w:rPr>
        <w:t>Investec</w:t>
      </w:r>
      <w:r w:rsidRPr="00344EC3">
        <w:rPr>
          <w:rFonts w:ascii="Arial" w:hAnsi="Arial"/>
          <w:sz w:val="20"/>
          <w:szCs w:val="20"/>
        </w:rPr>
        <w:t xml:space="preserve"> to inform themselves about, and to observe, such restrictions.</w:t>
      </w:r>
    </w:p>
    <w:p w:rsidR="00BA049B" w:rsidRPr="00344EC3"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 xml:space="preserve">No prospectus </w:t>
      </w:r>
      <w:r w:rsidR="004E75DD">
        <w:rPr>
          <w:rFonts w:ascii="Arial" w:hAnsi="Arial"/>
          <w:sz w:val="20"/>
          <w:szCs w:val="20"/>
          <w:lang w:eastAsia="en-GB"/>
        </w:rPr>
        <w:t xml:space="preserve">has been or </w:t>
      </w:r>
      <w:r w:rsidRPr="00344EC3">
        <w:rPr>
          <w:rFonts w:ascii="Arial" w:hAnsi="Arial"/>
          <w:sz w:val="20"/>
          <w:szCs w:val="20"/>
          <w:lang w:eastAsia="en-GB"/>
        </w:rPr>
        <w:t xml:space="preserve">will be made available in connection with the matters contained in this </w:t>
      </w:r>
      <w:r w:rsidR="004E75DD">
        <w:rPr>
          <w:rFonts w:ascii="Arial" w:hAnsi="Arial"/>
          <w:sz w:val="20"/>
          <w:szCs w:val="20"/>
          <w:lang w:eastAsia="en-GB"/>
        </w:rPr>
        <w:t>a</w:t>
      </w:r>
      <w:r w:rsidR="004E75DD" w:rsidRPr="00344EC3">
        <w:rPr>
          <w:rFonts w:ascii="Arial" w:hAnsi="Arial"/>
          <w:sz w:val="20"/>
          <w:szCs w:val="20"/>
          <w:lang w:eastAsia="en-GB"/>
        </w:rPr>
        <w:t xml:space="preserve">nnouncement </w:t>
      </w:r>
      <w:r w:rsidRPr="00344EC3">
        <w:rPr>
          <w:rFonts w:ascii="Arial" w:hAnsi="Arial"/>
          <w:sz w:val="20"/>
          <w:szCs w:val="20"/>
          <w:lang w:eastAsia="en-GB"/>
        </w:rPr>
        <w:t xml:space="preserve">and no such prospectus is required (in accordance with the Prospectus Regulation) to be published.  Persons needing advice should consult a qualified independent legal adviser, business adviser, financial adviser or tax adviser for legal, financial, business or tax advice. </w:t>
      </w:r>
    </w:p>
    <w:p w:rsidR="00BA049B" w:rsidRPr="00344EC3" w:rsidRDefault="00CB721A"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 xml:space="preserve">This announcement and the information contained in </w:t>
      </w:r>
      <w:r w:rsidR="004E75DD">
        <w:rPr>
          <w:rFonts w:ascii="Arial" w:hAnsi="Arial"/>
          <w:sz w:val="20"/>
          <w:szCs w:val="20"/>
          <w:lang w:eastAsia="en-GB"/>
        </w:rPr>
        <w:t>it</w:t>
      </w:r>
      <w:r w:rsidRPr="00344EC3">
        <w:rPr>
          <w:rFonts w:ascii="Arial" w:hAnsi="Arial"/>
          <w:sz w:val="20"/>
          <w:szCs w:val="20"/>
          <w:lang w:eastAsia="en-GB"/>
        </w:rPr>
        <w:t>, is restricted and is no</w:t>
      </w:r>
      <w:r w:rsidR="0066707D" w:rsidRPr="00344EC3">
        <w:rPr>
          <w:rFonts w:ascii="Arial" w:hAnsi="Arial"/>
          <w:sz w:val="20"/>
          <w:szCs w:val="20"/>
          <w:lang w:eastAsia="en-GB"/>
        </w:rPr>
        <w:t xml:space="preserve">t for publication, release or distribution, directly or indirectly, in whole or in part, in or into the </w:t>
      </w:r>
      <w:r w:rsidR="004E75DD">
        <w:rPr>
          <w:rFonts w:ascii="Arial" w:hAnsi="Arial"/>
          <w:sz w:val="20"/>
          <w:szCs w:val="20"/>
          <w:lang w:eastAsia="en-GB"/>
        </w:rPr>
        <w:t>U</w:t>
      </w:r>
      <w:r w:rsidR="004E75DD" w:rsidRPr="00344EC3">
        <w:rPr>
          <w:rFonts w:ascii="Arial" w:hAnsi="Arial"/>
          <w:sz w:val="20"/>
          <w:szCs w:val="20"/>
          <w:lang w:eastAsia="en-GB"/>
        </w:rPr>
        <w:t xml:space="preserve">nited </w:t>
      </w:r>
      <w:r w:rsidR="004E75DD">
        <w:rPr>
          <w:rFonts w:ascii="Arial" w:hAnsi="Arial"/>
          <w:sz w:val="20"/>
          <w:szCs w:val="20"/>
          <w:lang w:eastAsia="en-GB"/>
        </w:rPr>
        <w:t>S</w:t>
      </w:r>
      <w:r w:rsidR="0066707D" w:rsidRPr="00344EC3">
        <w:rPr>
          <w:rFonts w:ascii="Arial" w:hAnsi="Arial"/>
          <w:sz w:val="20"/>
          <w:szCs w:val="20"/>
          <w:lang w:eastAsia="en-GB"/>
        </w:rPr>
        <w:t xml:space="preserve">tates of </w:t>
      </w:r>
      <w:r w:rsidR="004E75DD">
        <w:rPr>
          <w:rFonts w:ascii="Arial" w:hAnsi="Arial"/>
          <w:sz w:val="20"/>
          <w:szCs w:val="20"/>
          <w:lang w:eastAsia="en-GB"/>
        </w:rPr>
        <w:t>A</w:t>
      </w:r>
      <w:r w:rsidR="004E75DD" w:rsidRPr="00344EC3">
        <w:rPr>
          <w:rFonts w:ascii="Arial" w:hAnsi="Arial"/>
          <w:sz w:val="20"/>
          <w:szCs w:val="20"/>
          <w:lang w:eastAsia="en-GB"/>
        </w:rPr>
        <w:t>merica</w:t>
      </w:r>
      <w:r w:rsidR="0066707D" w:rsidRPr="00344EC3">
        <w:rPr>
          <w:rFonts w:ascii="Arial" w:hAnsi="Arial"/>
          <w:sz w:val="20"/>
          <w:szCs w:val="20"/>
          <w:lang w:eastAsia="en-GB"/>
        </w:rPr>
        <w:t xml:space="preserve">, its territories and possessions, any state of the </w:t>
      </w:r>
      <w:r w:rsidR="004E75DD">
        <w:rPr>
          <w:rFonts w:ascii="Arial" w:hAnsi="Arial"/>
          <w:sz w:val="20"/>
          <w:szCs w:val="20"/>
          <w:lang w:eastAsia="en-GB"/>
        </w:rPr>
        <w:t>U</w:t>
      </w:r>
      <w:r w:rsidR="004E75DD" w:rsidRPr="00344EC3">
        <w:rPr>
          <w:rFonts w:ascii="Arial" w:hAnsi="Arial"/>
          <w:sz w:val="20"/>
          <w:szCs w:val="20"/>
          <w:lang w:eastAsia="en-GB"/>
        </w:rPr>
        <w:t xml:space="preserve">nited </w:t>
      </w:r>
      <w:r w:rsidR="004E75DD">
        <w:rPr>
          <w:rFonts w:ascii="Arial" w:hAnsi="Arial"/>
          <w:sz w:val="20"/>
          <w:szCs w:val="20"/>
          <w:lang w:eastAsia="en-GB"/>
        </w:rPr>
        <w:t>S</w:t>
      </w:r>
      <w:r w:rsidR="004E75DD" w:rsidRPr="00344EC3">
        <w:rPr>
          <w:rFonts w:ascii="Arial" w:hAnsi="Arial"/>
          <w:sz w:val="20"/>
          <w:szCs w:val="20"/>
          <w:lang w:eastAsia="en-GB"/>
        </w:rPr>
        <w:t xml:space="preserve">tates </w:t>
      </w:r>
      <w:r w:rsidR="004E75DD">
        <w:rPr>
          <w:rFonts w:ascii="Arial" w:hAnsi="Arial"/>
          <w:sz w:val="20"/>
          <w:szCs w:val="20"/>
          <w:lang w:eastAsia="en-GB"/>
        </w:rPr>
        <w:t xml:space="preserve">of America </w:t>
      </w:r>
      <w:r w:rsidR="0066707D" w:rsidRPr="00344EC3">
        <w:rPr>
          <w:rFonts w:ascii="Arial" w:hAnsi="Arial"/>
          <w:sz w:val="20"/>
          <w:szCs w:val="20"/>
          <w:lang w:eastAsia="en-GB"/>
        </w:rPr>
        <w:t xml:space="preserve">or the </w:t>
      </w:r>
      <w:r w:rsidR="004E75DD">
        <w:rPr>
          <w:rFonts w:ascii="Arial" w:hAnsi="Arial"/>
          <w:sz w:val="20"/>
          <w:szCs w:val="20"/>
          <w:lang w:eastAsia="en-GB"/>
        </w:rPr>
        <w:t>D</w:t>
      </w:r>
      <w:r w:rsidR="004E75DD" w:rsidRPr="00344EC3">
        <w:rPr>
          <w:rFonts w:ascii="Arial" w:hAnsi="Arial"/>
          <w:sz w:val="20"/>
          <w:szCs w:val="20"/>
          <w:lang w:eastAsia="en-GB"/>
        </w:rPr>
        <w:t xml:space="preserve">istrict </w:t>
      </w:r>
      <w:r w:rsidR="0066707D" w:rsidRPr="00344EC3">
        <w:rPr>
          <w:rFonts w:ascii="Arial" w:hAnsi="Arial"/>
          <w:sz w:val="20"/>
          <w:szCs w:val="20"/>
          <w:lang w:eastAsia="en-GB"/>
        </w:rPr>
        <w:t xml:space="preserve">of </w:t>
      </w:r>
      <w:r w:rsidR="004E75DD">
        <w:rPr>
          <w:rFonts w:ascii="Arial" w:hAnsi="Arial"/>
          <w:sz w:val="20"/>
          <w:szCs w:val="20"/>
          <w:lang w:eastAsia="en-GB"/>
        </w:rPr>
        <w:t>C</w:t>
      </w:r>
      <w:r w:rsidR="004E75DD" w:rsidRPr="00344EC3">
        <w:rPr>
          <w:rFonts w:ascii="Arial" w:hAnsi="Arial"/>
          <w:sz w:val="20"/>
          <w:szCs w:val="20"/>
          <w:lang w:eastAsia="en-GB"/>
        </w:rPr>
        <w:t xml:space="preserve">olumbia </w:t>
      </w:r>
      <w:r w:rsidR="0066707D" w:rsidRPr="00344EC3">
        <w:rPr>
          <w:rFonts w:ascii="Arial" w:hAnsi="Arial"/>
          <w:sz w:val="20"/>
          <w:szCs w:val="20"/>
          <w:lang w:eastAsia="en-GB"/>
        </w:rPr>
        <w:t xml:space="preserve">(collectively, the </w:t>
      </w:r>
      <w:r w:rsidR="0066707D">
        <w:rPr>
          <w:rFonts w:ascii="Arial" w:hAnsi="Arial"/>
          <w:sz w:val="20"/>
          <w:szCs w:val="20"/>
          <w:lang w:eastAsia="en-GB"/>
        </w:rPr>
        <w:t>"</w:t>
      </w:r>
      <w:r w:rsidR="004E75DD">
        <w:rPr>
          <w:rFonts w:ascii="Arial" w:hAnsi="Arial"/>
          <w:b/>
          <w:sz w:val="20"/>
          <w:szCs w:val="20"/>
          <w:lang w:eastAsia="en-GB"/>
        </w:rPr>
        <w:t>U</w:t>
      </w:r>
      <w:r w:rsidR="004E75DD" w:rsidRPr="00C63782">
        <w:rPr>
          <w:rFonts w:ascii="Arial" w:hAnsi="Arial"/>
          <w:b/>
          <w:sz w:val="20"/>
          <w:szCs w:val="20"/>
          <w:lang w:eastAsia="en-GB"/>
        </w:rPr>
        <w:t xml:space="preserve">nited </w:t>
      </w:r>
      <w:r w:rsidR="004E75DD">
        <w:rPr>
          <w:rFonts w:ascii="Arial" w:hAnsi="Arial"/>
          <w:b/>
          <w:sz w:val="20"/>
          <w:szCs w:val="20"/>
          <w:lang w:eastAsia="en-GB"/>
        </w:rPr>
        <w:t>S</w:t>
      </w:r>
      <w:r w:rsidR="004E75DD" w:rsidRPr="00C63782">
        <w:rPr>
          <w:rFonts w:ascii="Arial" w:hAnsi="Arial"/>
          <w:b/>
          <w:sz w:val="20"/>
          <w:szCs w:val="20"/>
          <w:lang w:eastAsia="en-GB"/>
        </w:rPr>
        <w:t>tates</w:t>
      </w:r>
      <w:r w:rsidR="0066707D">
        <w:rPr>
          <w:rFonts w:ascii="Arial" w:hAnsi="Arial"/>
          <w:sz w:val="20"/>
          <w:szCs w:val="20"/>
          <w:lang w:eastAsia="en-GB"/>
        </w:rPr>
        <w:t>"</w:t>
      </w:r>
      <w:r w:rsidRPr="00344EC3">
        <w:rPr>
          <w:rFonts w:ascii="Arial" w:hAnsi="Arial"/>
          <w:sz w:val="20"/>
          <w:szCs w:val="20"/>
          <w:lang w:eastAsia="en-GB"/>
        </w:rPr>
        <w:t xml:space="preserve">), </w:t>
      </w:r>
      <w:r w:rsidR="004E75DD">
        <w:rPr>
          <w:rFonts w:ascii="Arial" w:hAnsi="Arial"/>
          <w:sz w:val="20"/>
          <w:szCs w:val="20"/>
          <w:lang w:eastAsia="en-GB"/>
        </w:rPr>
        <w:t>A</w:t>
      </w:r>
      <w:r w:rsidR="004E75DD" w:rsidRPr="00344EC3">
        <w:rPr>
          <w:rFonts w:ascii="Arial" w:hAnsi="Arial"/>
          <w:sz w:val="20"/>
          <w:szCs w:val="20"/>
          <w:lang w:eastAsia="en-GB"/>
        </w:rPr>
        <w:t>ustralia</w:t>
      </w:r>
      <w:r w:rsidRPr="00344EC3">
        <w:rPr>
          <w:rFonts w:ascii="Arial" w:hAnsi="Arial"/>
          <w:sz w:val="20"/>
          <w:szCs w:val="20"/>
          <w:lang w:eastAsia="en-GB"/>
        </w:rPr>
        <w:t xml:space="preserve">, </w:t>
      </w:r>
      <w:r w:rsidR="004E75DD">
        <w:rPr>
          <w:rFonts w:ascii="Arial" w:hAnsi="Arial"/>
          <w:sz w:val="20"/>
          <w:szCs w:val="20"/>
          <w:lang w:eastAsia="en-GB"/>
        </w:rPr>
        <w:t>C</w:t>
      </w:r>
      <w:r w:rsidR="004E75DD" w:rsidRPr="00344EC3">
        <w:rPr>
          <w:rFonts w:ascii="Arial" w:hAnsi="Arial"/>
          <w:sz w:val="20"/>
          <w:szCs w:val="20"/>
          <w:lang w:eastAsia="en-GB"/>
        </w:rPr>
        <w:t>anada</w:t>
      </w:r>
      <w:r w:rsidRPr="00344EC3">
        <w:rPr>
          <w:rFonts w:ascii="Arial" w:hAnsi="Arial"/>
          <w:sz w:val="20"/>
          <w:szCs w:val="20"/>
          <w:lang w:eastAsia="en-GB"/>
        </w:rPr>
        <w:t xml:space="preserve">, the </w:t>
      </w:r>
      <w:r w:rsidR="004E75DD">
        <w:rPr>
          <w:rFonts w:ascii="Arial" w:hAnsi="Arial"/>
          <w:sz w:val="20"/>
          <w:szCs w:val="20"/>
          <w:lang w:eastAsia="en-GB"/>
        </w:rPr>
        <w:t>R</w:t>
      </w:r>
      <w:r w:rsidRPr="00344EC3">
        <w:rPr>
          <w:rFonts w:ascii="Arial" w:hAnsi="Arial"/>
          <w:sz w:val="20"/>
          <w:szCs w:val="20"/>
          <w:lang w:eastAsia="en-GB"/>
        </w:rPr>
        <w:t xml:space="preserve">epublic of </w:t>
      </w:r>
      <w:r w:rsidR="004E75DD">
        <w:rPr>
          <w:rFonts w:ascii="Arial" w:hAnsi="Arial"/>
          <w:sz w:val="20"/>
          <w:szCs w:val="20"/>
          <w:lang w:eastAsia="en-GB"/>
        </w:rPr>
        <w:t>S</w:t>
      </w:r>
      <w:r w:rsidRPr="00344EC3">
        <w:rPr>
          <w:rFonts w:ascii="Arial" w:hAnsi="Arial"/>
          <w:sz w:val="20"/>
          <w:szCs w:val="20"/>
          <w:lang w:eastAsia="en-GB"/>
        </w:rPr>
        <w:t xml:space="preserve">outh </w:t>
      </w:r>
      <w:r w:rsidR="004E75DD">
        <w:rPr>
          <w:rFonts w:ascii="Arial" w:hAnsi="Arial"/>
          <w:sz w:val="20"/>
          <w:szCs w:val="20"/>
          <w:lang w:eastAsia="en-GB"/>
        </w:rPr>
        <w:t>A</w:t>
      </w:r>
      <w:r w:rsidRPr="00344EC3">
        <w:rPr>
          <w:rFonts w:ascii="Arial" w:hAnsi="Arial"/>
          <w:sz w:val="20"/>
          <w:szCs w:val="20"/>
          <w:lang w:eastAsia="en-GB"/>
        </w:rPr>
        <w:t xml:space="preserve">frica or </w:t>
      </w:r>
      <w:r w:rsidR="004E75DD">
        <w:rPr>
          <w:rFonts w:ascii="Arial" w:hAnsi="Arial"/>
          <w:sz w:val="20"/>
          <w:szCs w:val="20"/>
          <w:lang w:eastAsia="en-GB"/>
        </w:rPr>
        <w:t>J</w:t>
      </w:r>
      <w:r w:rsidRPr="00344EC3">
        <w:rPr>
          <w:rFonts w:ascii="Arial" w:hAnsi="Arial"/>
          <w:sz w:val="20"/>
          <w:szCs w:val="20"/>
          <w:lang w:eastAsia="en-GB"/>
        </w:rPr>
        <w:t xml:space="preserve">apan or any other jurisdiction in which such publication, release or distribution would be unlawful.  Further, this announcement is for information purposes only and is not an offer of securities in any jurisdiction. This announcement has not been approved by the </w:t>
      </w:r>
      <w:r w:rsidR="004E75DD">
        <w:rPr>
          <w:rFonts w:ascii="Arial" w:hAnsi="Arial"/>
          <w:sz w:val="20"/>
          <w:szCs w:val="20"/>
          <w:lang w:eastAsia="en-GB"/>
        </w:rPr>
        <w:t>L</w:t>
      </w:r>
      <w:r w:rsidRPr="00344EC3">
        <w:rPr>
          <w:rFonts w:ascii="Arial" w:hAnsi="Arial"/>
          <w:sz w:val="20"/>
          <w:szCs w:val="20"/>
          <w:lang w:eastAsia="en-GB"/>
        </w:rPr>
        <w:t xml:space="preserve">ondon </w:t>
      </w:r>
      <w:r w:rsidR="004E75DD">
        <w:rPr>
          <w:rFonts w:ascii="Arial" w:hAnsi="Arial"/>
          <w:sz w:val="20"/>
          <w:szCs w:val="20"/>
          <w:lang w:eastAsia="en-GB"/>
        </w:rPr>
        <w:t>S</w:t>
      </w:r>
      <w:r w:rsidRPr="00344EC3">
        <w:rPr>
          <w:rFonts w:ascii="Arial" w:hAnsi="Arial"/>
          <w:sz w:val="20"/>
          <w:szCs w:val="20"/>
          <w:lang w:eastAsia="en-GB"/>
        </w:rPr>
        <w:t xml:space="preserve">tock </w:t>
      </w:r>
      <w:r w:rsidR="004E75DD">
        <w:rPr>
          <w:rFonts w:ascii="Arial" w:hAnsi="Arial"/>
          <w:sz w:val="20"/>
          <w:szCs w:val="20"/>
          <w:lang w:eastAsia="en-GB"/>
        </w:rPr>
        <w:t>E</w:t>
      </w:r>
      <w:r w:rsidRPr="00344EC3">
        <w:rPr>
          <w:rFonts w:ascii="Arial" w:hAnsi="Arial"/>
          <w:sz w:val="20"/>
          <w:szCs w:val="20"/>
          <w:lang w:eastAsia="en-GB"/>
        </w:rPr>
        <w:t>xchange, nor is it intended that it will be so approved</w:t>
      </w:r>
      <w:r w:rsidR="0066707D" w:rsidRPr="00344EC3">
        <w:rPr>
          <w:rFonts w:ascii="Arial" w:hAnsi="Arial"/>
          <w:sz w:val="20"/>
          <w:szCs w:val="20"/>
          <w:lang w:eastAsia="en-GB"/>
        </w:rPr>
        <w:t>.</w:t>
      </w:r>
    </w:p>
    <w:p w:rsidR="00BA049B"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 xml:space="preserve">This </w:t>
      </w:r>
      <w:r w:rsidR="004E75DD">
        <w:rPr>
          <w:rFonts w:ascii="Arial" w:hAnsi="Arial"/>
          <w:sz w:val="20"/>
          <w:szCs w:val="20"/>
          <w:lang w:eastAsia="en-GB"/>
        </w:rPr>
        <w:t>a</w:t>
      </w:r>
      <w:r w:rsidRPr="00344EC3">
        <w:rPr>
          <w:rFonts w:ascii="Arial" w:hAnsi="Arial"/>
          <w:sz w:val="20"/>
          <w:szCs w:val="20"/>
          <w:lang w:eastAsia="en-GB"/>
        </w:rPr>
        <w:t>nnouncement or any part of it does not constitute or form part of any offer to issue or sell, or the solicitation of an offer to acquire, purchase or subscribe for, any securities in the United States, Canada, Australi</w:t>
      </w:r>
      <w:r>
        <w:rPr>
          <w:rFonts w:ascii="Arial" w:hAnsi="Arial"/>
          <w:sz w:val="20"/>
          <w:szCs w:val="20"/>
          <w:lang w:eastAsia="en-GB"/>
        </w:rPr>
        <w:t>a, the Republic of South Africa,</w:t>
      </w:r>
      <w:r w:rsidRPr="00344EC3">
        <w:rPr>
          <w:rFonts w:ascii="Arial" w:hAnsi="Arial"/>
          <w:sz w:val="20"/>
          <w:szCs w:val="20"/>
          <w:lang w:eastAsia="en-GB"/>
        </w:rPr>
        <w:t xml:space="preserve"> Japan</w:t>
      </w:r>
      <w:r>
        <w:rPr>
          <w:rFonts w:ascii="Arial" w:hAnsi="Arial"/>
          <w:sz w:val="20"/>
          <w:szCs w:val="20"/>
          <w:lang w:eastAsia="en-GB"/>
        </w:rPr>
        <w:t xml:space="preserve"> </w:t>
      </w:r>
      <w:r w:rsidRPr="00344EC3">
        <w:rPr>
          <w:rFonts w:ascii="Arial" w:hAnsi="Arial"/>
          <w:sz w:val="20"/>
          <w:szCs w:val="20"/>
          <w:lang w:eastAsia="en-GB"/>
        </w:rPr>
        <w:t>or any other jurisdiction in which the same would be unlawful. No public offering of the Placing Shares is being made in any such jurisdiction.</w:t>
      </w:r>
    </w:p>
    <w:p w:rsidR="00BA049B" w:rsidRPr="00344EC3" w:rsidRDefault="00BA049B" w:rsidP="00FD13A3">
      <w:pPr>
        <w:shd w:val="clear" w:color="auto" w:fill="FFFFFF"/>
        <w:spacing w:after="225" w:line="276" w:lineRule="auto"/>
        <w:jc w:val="both"/>
        <w:rPr>
          <w:rFonts w:ascii="Arial" w:hAnsi="Arial"/>
          <w:sz w:val="20"/>
          <w:szCs w:val="20"/>
          <w:lang w:eastAsia="en-GB"/>
        </w:rPr>
      </w:pPr>
      <w:r>
        <w:rPr>
          <w:rFonts w:ascii="Arial" w:hAnsi="Arial"/>
          <w:sz w:val="20"/>
          <w:szCs w:val="20"/>
          <w:lang w:eastAsia="en-GB"/>
        </w:rPr>
        <w:t>T</w:t>
      </w:r>
      <w:r w:rsidRPr="00344EC3">
        <w:rPr>
          <w:rFonts w:ascii="Arial" w:hAnsi="Arial"/>
          <w:sz w:val="20"/>
          <w:szCs w:val="20"/>
          <w:lang w:eastAsia="en-GB"/>
        </w:rPr>
        <w:t xml:space="preserve">his </w:t>
      </w:r>
      <w:r w:rsidR="004E75DD">
        <w:rPr>
          <w:rFonts w:ascii="Arial" w:hAnsi="Arial"/>
          <w:sz w:val="20"/>
          <w:szCs w:val="20"/>
          <w:lang w:eastAsia="en-GB"/>
        </w:rPr>
        <w:t>a</w:t>
      </w:r>
      <w:r w:rsidRPr="00344EC3">
        <w:rPr>
          <w:rFonts w:ascii="Arial" w:hAnsi="Arial"/>
          <w:sz w:val="20"/>
          <w:szCs w:val="20"/>
          <w:lang w:eastAsia="en-GB"/>
        </w:rPr>
        <w:t>nnouncement is for information purposes only and is directed only at</w:t>
      </w:r>
      <w:r w:rsidRPr="00344EC3">
        <w:t xml:space="preserve"> </w:t>
      </w:r>
      <w:r w:rsidRPr="00344EC3">
        <w:rPr>
          <w:rFonts w:ascii="Arial" w:hAnsi="Arial"/>
          <w:sz w:val="20"/>
          <w:szCs w:val="20"/>
          <w:lang w:eastAsia="en-GB"/>
        </w:rPr>
        <w:t xml:space="preserve">persons </w:t>
      </w:r>
      <w:r w:rsidR="004E75DD">
        <w:rPr>
          <w:rFonts w:ascii="Arial" w:hAnsi="Arial"/>
          <w:sz w:val="20"/>
          <w:szCs w:val="20"/>
          <w:lang w:eastAsia="en-GB"/>
        </w:rPr>
        <w:t>in the European Economic Area (the “</w:t>
      </w:r>
      <w:r w:rsidR="004E75DD">
        <w:rPr>
          <w:rFonts w:ascii="Arial" w:hAnsi="Arial"/>
          <w:b/>
          <w:sz w:val="20"/>
          <w:szCs w:val="20"/>
          <w:lang w:eastAsia="en-GB"/>
        </w:rPr>
        <w:t>EEA</w:t>
      </w:r>
      <w:r w:rsidR="004E75DD">
        <w:rPr>
          <w:rFonts w:ascii="Arial" w:hAnsi="Arial"/>
          <w:sz w:val="20"/>
          <w:szCs w:val="20"/>
          <w:lang w:eastAsia="en-GB"/>
        </w:rPr>
        <w:t>”)</w:t>
      </w:r>
      <w:r w:rsidR="004E75DD">
        <w:rPr>
          <w:rFonts w:ascii="Arial" w:hAnsi="Arial"/>
          <w:b/>
          <w:sz w:val="20"/>
          <w:szCs w:val="20"/>
          <w:lang w:eastAsia="en-GB"/>
        </w:rPr>
        <w:t xml:space="preserve"> </w:t>
      </w:r>
      <w:r w:rsidR="004E75DD">
        <w:rPr>
          <w:rFonts w:ascii="Arial" w:hAnsi="Arial"/>
          <w:sz w:val="20"/>
          <w:szCs w:val="20"/>
          <w:lang w:eastAsia="en-GB"/>
        </w:rPr>
        <w:t xml:space="preserve">or the UK </w:t>
      </w:r>
      <w:r w:rsidRPr="00344EC3">
        <w:rPr>
          <w:rFonts w:ascii="Arial" w:hAnsi="Arial"/>
          <w:sz w:val="20"/>
          <w:szCs w:val="20"/>
          <w:lang w:eastAsia="en-GB"/>
        </w:rPr>
        <w:t xml:space="preserve">whose ordinary activities involve them in acquiring, holding, managing and disposing of investments (as principal or agent) for the purposes of their business and who have professional experience in matters relating to investments and are: (a) if in a member state of the </w:t>
      </w:r>
      <w:r w:rsidR="004E75DD">
        <w:rPr>
          <w:rFonts w:ascii="Arial" w:hAnsi="Arial"/>
          <w:sz w:val="20"/>
          <w:szCs w:val="20"/>
          <w:lang w:eastAsia="en-GB"/>
        </w:rPr>
        <w:t>EEA</w:t>
      </w:r>
      <w:r w:rsidRPr="00344EC3">
        <w:rPr>
          <w:rFonts w:ascii="Arial" w:hAnsi="Arial"/>
          <w:sz w:val="20"/>
          <w:szCs w:val="20"/>
          <w:lang w:eastAsia="en-GB"/>
        </w:rPr>
        <w:t xml:space="preserve">, qualified investors within the meaning of article 2(e) of </w:t>
      </w:r>
      <w:r>
        <w:rPr>
          <w:rFonts w:ascii="Arial" w:hAnsi="Arial"/>
          <w:sz w:val="20"/>
          <w:szCs w:val="20"/>
          <w:lang w:eastAsia="en-GB"/>
        </w:rPr>
        <w:t xml:space="preserve">the </w:t>
      </w:r>
      <w:r w:rsidRPr="00344EC3">
        <w:rPr>
          <w:rFonts w:ascii="Arial" w:hAnsi="Arial"/>
          <w:sz w:val="20"/>
          <w:szCs w:val="20"/>
          <w:lang w:eastAsia="en-GB"/>
        </w:rPr>
        <w:t>prospectus regulation (</w:t>
      </w:r>
      <w:r>
        <w:rPr>
          <w:rFonts w:ascii="Arial" w:hAnsi="Arial"/>
          <w:sz w:val="20"/>
          <w:szCs w:val="20"/>
          <w:lang w:eastAsia="en-GB"/>
        </w:rPr>
        <w:t>"</w:t>
      </w:r>
      <w:r>
        <w:rPr>
          <w:rFonts w:ascii="Arial" w:hAnsi="Arial"/>
          <w:b/>
          <w:bCs/>
          <w:sz w:val="20"/>
          <w:szCs w:val="20"/>
          <w:lang w:eastAsia="en-GB"/>
        </w:rPr>
        <w:t>Q</w:t>
      </w:r>
      <w:r w:rsidRPr="00344EC3">
        <w:rPr>
          <w:rFonts w:ascii="Arial" w:hAnsi="Arial"/>
          <w:b/>
          <w:bCs/>
          <w:sz w:val="20"/>
          <w:szCs w:val="20"/>
          <w:lang w:eastAsia="en-GB"/>
        </w:rPr>
        <w:t xml:space="preserve">ualified </w:t>
      </w:r>
      <w:r>
        <w:rPr>
          <w:rFonts w:ascii="Arial" w:hAnsi="Arial"/>
          <w:b/>
          <w:bCs/>
          <w:sz w:val="20"/>
          <w:szCs w:val="20"/>
          <w:lang w:eastAsia="en-GB"/>
        </w:rPr>
        <w:t>I</w:t>
      </w:r>
      <w:r w:rsidRPr="00344EC3">
        <w:rPr>
          <w:rFonts w:ascii="Arial" w:hAnsi="Arial"/>
          <w:b/>
          <w:bCs/>
          <w:sz w:val="20"/>
          <w:szCs w:val="20"/>
          <w:lang w:eastAsia="en-GB"/>
        </w:rPr>
        <w:t>nvestors</w:t>
      </w:r>
      <w:r>
        <w:rPr>
          <w:rFonts w:ascii="Arial" w:hAnsi="Arial"/>
          <w:sz w:val="20"/>
          <w:szCs w:val="20"/>
          <w:lang w:eastAsia="en-GB"/>
        </w:rPr>
        <w:t>"</w:t>
      </w:r>
      <w:r w:rsidRPr="00344EC3">
        <w:rPr>
          <w:rFonts w:ascii="Arial" w:hAnsi="Arial"/>
          <w:sz w:val="20"/>
          <w:szCs w:val="20"/>
          <w:lang w:eastAsia="en-GB"/>
        </w:rPr>
        <w:t>); or (b) if in the</w:t>
      </w:r>
      <w:r>
        <w:rPr>
          <w:rFonts w:ascii="Arial" w:hAnsi="Arial"/>
          <w:sz w:val="20"/>
          <w:szCs w:val="20"/>
          <w:lang w:eastAsia="en-GB"/>
        </w:rPr>
        <w:t xml:space="preserve"> UK</w:t>
      </w:r>
      <w:r w:rsidRPr="00344EC3">
        <w:rPr>
          <w:rFonts w:ascii="Arial" w:hAnsi="Arial"/>
          <w:sz w:val="20"/>
          <w:szCs w:val="20"/>
          <w:lang w:eastAsia="en-GB"/>
        </w:rPr>
        <w:t xml:space="preserve">, </w:t>
      </w:r>
      <w:r>
        <w:rPr>
          <w:rFonts w:ascii="Arial" w:hAnsi="Arial"/>
          <w:sz w:val="20"/>
          <w:szCs w:val="20"/>
          <w:lang w:eastAsia="en-GB"/>
        </w:rPr>
        <w:t>Q</w:t>
      </w:r>
      <w:r w:rsidRPr="00344EC3">
        <w:rPr>
          <w:rFonts w:ascii="Arial" w:hAnsi="Arial"/>
          <w:sz w:val="20"/>
          <w:szCs w:val="20"/>
          <w:lang w:eastAsia="en-GB"/>
        </w:rPr>
        <w:t xml:space="preserve">ualified </w:t>
      </w:r>
      <w:r>
        <w:rPr>
          <w:rFonts w:ascii="Arial" w:hAnsi="Arial"/>
          <w:sz w:val="20"/>
          <w:szCs w:val="20"/>
          <w:lang w:eastAsia="en-GB"/>
        </w:rPr>
        <w:t>I</w:t>
      </w:r>
      <w:r w:rsidRPr="00344EC3">
        <w:rPr>
          <w:rFonts w:ascii="Arial" w:hAnsi="Arial"/>
          <w:sz w:val="20"/>
          <w:szCs w:val="20"/>
          <w:lang w:eastAsia="en-GB"/>
        </w:rPr>
        <w:t xml:space="preserve">nvestors who are (i) persons who fall within the definition of </w:t>
      </w:r>
      <w:r>
        <w:rPr>
          <w:rFonts w:ascii="Arial" w:hAnsi="Arial"/>
          <w:sz w:val="20"/>
          <w:szCs w:val="20"/>
          <w:lang w:eastAsia="en-GB"/>
        </w:rPr>
        <w:t>"</w:t>
      </w:r>
      <w:r w:rsidRPr="00344EC3">
        <w:rPr>
          <w:rFonts w:ascii="Arial" w:hAnsi="Arial"/>
          <w:sz w:val="20"/>
          <w:szCs w:val="20"/>
          <w:lang w:eastAsia="en-GB"/>
        </w:rPr>
        <w:t>investment professional</w:t>
      </w:r>
      <w:r>
        <w:rPr>
          <w:rFonts w:ascii="Arial" w:hAnsi="Arial"/>
          <w:sz w:val="20"/>
          <w:szCs w:val="20"/>
          <w:lang w:eastAsia="en-GB"/>
        </w:rPr>
        <w:t>"</w:t>
      </w:r>
      <w:r w:rsidRPr="00344EC3">
        <w:rPr>
          <w:rFonts w:ascii="Arial" w:hAnsi="Arial"/>
          <w:sz w:val="20"/>
          <w:szCs w:val="20"/>
          <w:lang w:eastAsia="en-GB"/>
        </w:rPr>
        <w:t xml:space="preserve"> in article 19(5) of the </w:t>
      </w:r>
      <w:r>
        <w:rPr>
          <w:rFonts w:ascii="Arial" w:hAnsi="Arial"/>
          <w:sz w:val="20"/>
          <w:szCs w:val="20"/>
          <w:lang w:eastAsia="en-GB"/>
        </w:rPr>
        <w:t>F</w:t>
      </w:r>
      <w:r w:rsidRPr="00344EC3">
        <w:rPr>
          <w:rFonts w:ascii="Arial" w:hAnsi="Arial"/>
          <w:sz w:val="20"/>
          <w:szCs w:val="20"/>
          <w:lang w:eastAsia="en-GB"/>
        </w:rPr>
        <w:t xml:space="preserve">inancial </w:t>
      </w:r>
      <w:r>
        <w:rPr>
          <w:rFonts w:ascii="Arial" w:hAnsi="Arial"/>
          <w:sz w:val="20"/>
          <w:szCs w:val="20"/>
          <w:lang w:eastAsia="en-GB"/>
        </w:rPr>
        <w:t>S</w:t>
      </w:r>
      <w:r w:rsidRPr="00344EC3">
        <w:rPr>
          <w:rFonts w:ascii="Arial" w:hAnsi="Arial"/>
          <w:sz w:val="20"/>
          <w:szCs w:val="20"/>
          <w:lang w:eastAsia="en-GB"/>
        </w:rPr>
        <w:t xml:space="preserve">ervices and </w:t>
      </w:r>
      <w:r>
        <w:rPr>
          <w:rFonts w:ascii="Arial" w:hAnsi="Arial"/>
          <w:sz w:val="20"/>
          <w:szCs w:val="20"/>
          <w:lang w:eastAsia="en-GB"/>
        </w:rPr>
        <w:t>M</w:t>
      </w:r>
      <w:r w:rsidRPr="00344EC3">
        <w:rPr>
          <w:rFonts w:ascii="Arial" w:hAnsi="Arial"/>
          <w:sz w:val="20"/>
          <w:szCs w:val="20"/>
          <w:lang w:eastAsia="en-GB"/>
        </w:rPr>
        <w:t xml:space="preserve">arkets </w:t>
      </w:r>
      <w:r>
        <w:rPr>
          <w:rFonts w:ascii="Arial" w:hAnsi="Arial"/>
          <w:sz w:val="20"/>
          <w:szCs w:val="20"/>
          <w:lang w:eastAsia="en-GB"/>
        </w:rPr>
        <w:t>A</w:t>
      </w:r>
      <w:r w:rsidRPr="00344EC3">
        <w:rPr>
          <w:rFonts w:ascii="Arial" w:hAnsi="Arial"/>
          <w:sz w:val="20"/>
          <w:szCs w:val="20"/>
          <w:lang w:eastAsia="en-GB"/>
        </w:rPr>
        <w:t>ct 2000 (</w:t>
      </w:r>
      <w:r>
        <w:rPr>
          <w:rFonts w:ascii="Arial" w:hAnsi="Arial"/>
          <w:sz w:val="20"/>
          <w:szCs w:val="20"/>
          <w:lang w:eastAsia="en-GB"/>
        </w:rPr>
        <w:t>F</w:t>
      </w:r>
      <w:r w:rsidRPr="00344EC3">
        <w:rPr>
          <w:rFonts w:ascii="Arial" w:hAnsi="Arial"/>
          <w:sz w:val="20"/>
          <w:szCs w:val="20"/>
          <w:lang w:eastAsia="en-GB"/>
        </w:rPr>
        <w:t xml:space="preserve">inancial </w:t>
      </w:r>
      <w:r>
        <w:rPr>
          <w:rFonts w:ascii="Arial" w:hAnsi="Arial"/>
          <w:sz w:val="20"/>
          <w:szCs w:val="20"/>
          <w:lang w:eastAsia="en-GB"/>
        </w:rPr>
        <w:t>P</w:t>
      </w:r>
      <w:r w:rsidRPr="00344EC3">
        <w:rPr>
          <w:rFonts w:ascii="Arial" w:hAnsi="Arial"/>
          <w:sz w:val="20"/>
          <w:szCs w:val="20"/>
          <w:lang w:eastAsia="en-GB"/>
        </w:rPr>
        <w:t xml:space="preserve">romotion) </w:t>
      </w:r>
      <w:r>
        <w:rPr>
          <w:rFonts w:ascii="Arial" w:hAnsi="Arial"/>
          <w:sz w:val="20"/>
          <w:szCs w:val="20"/>
          <w:lang w:eastAsia="en-GB"/>
        </w:rPr>
        <w:t>O</w:t>
      </w:r>
      <w:r w:rsidRPr="00344EC3">
        <w:rPr>
          <w:rFonts w:ascii="Arial" w:hAnsi="Arial"/>
          <w:sz w:val="20"/>
          <w:szCs w:val="20"/>
          <w:lang w:eastAsia="en-GB"/>
        </w:rPr>
        <w:t xml:space="preserve">rder 2005, as amended (the </w:t>
      </w:r>
      <w:r>
        <w:rPr>
          <w:rFonts w:ascii="Arial" w:hAnsi="Arial"/>
          <w:sz w:val="20"/>
          <w:szCs w:val="20"/>
          <w:lang w:eastAsia="en-GB"/>
        </w:rPr>
        <w:t>"</w:t>
      </w:r>
      <w:r w:rsidRPr="009F00E5">
        <w:rPr>
          <w:rFonts w:ascii="Arial" w:hAnsi="Arial"/>
          <w:b/>
          <w:sz w:val="20"/>
          <w:szCs w:val="20"/>
          <w:lang w:eastAsia="en-GB"/>
        </w:rPr>
        <w:t>O</w:t>
      </w:r>
      <w:r w:rsidRPr="00344EC3">
        <w:rPr>
          <w:rFonts w:ascii="Arial" w:hAnsi="Arial"/>
          <w:b/>
          <w:bCs/>
          <w:sz w:val="20"/>
          <w:szCs w:val="20"/>
          <w:lang w:eastAsia="en-GB"/>
        </w:rPr>
        <w:t>rder</w:t>
      </w:r>
      <w:r>
        <w:rPr>
          <w:rFonts w:ascii="Arial" w:hAnsi="Arial"/>
          <w:sz w:val="20"/>
          <w:szCs w:val="20"/>
          <w:lang w:eastAsia="en-GB"/>
        </w:rPr>
        <w:t>"</w:t>
      </w:r>
      <w:r w:rsidRPr="00344EC3">
        <w:rPr>
          <w:rFonts w:ascii="Arial" w:hAnsi="Arial"/>
          <w:sz w:val="20"/>
          <w:szCs w:val="20"/>
          <w:lang w:eastAsia="en-GB"/>
        </w:rPr>
        <w:t xml:space="preserve">), or (ii) persons who fall within article 49(2)(a) to (d) of the </w:t>
      </w:r>
      <w:r>
        <w:rPr>
          <w:rFonts w:ascii="Arial" w:hAnsi="Arial"/>
          <w:sz w:val="20"/>
          <w:szCs w:val="20"/>
          <w:lang w:eastAsia="en-GB"/>
        </w:rPr>
        <w:t>O</w:t>
      </w:r>
      <w:r w:rsidRPr="00344EC3">
        <w:rPr>
          <w:rFonts w:ascii="Arial" w:hAnsi="Arial"/>
          <w:sz w:val="20"/>
          <w:szCs w:val="20"/>
          <w:lang w:eastAsia="en-GB"/>
        </w:rPr>
        <w:t xml:space="preserve">rder, or (c) persons to whom it may otherwise be lawfully communicated (all such persons referred to in (a), (b) and (c) above together being referred to as </w:t>
      </w:r>
      <w:r>
        <w:rPr>
          <w:rFonts w:ascii="Arial" w:hAnsi="Arial"/>
          <w:sz w:val="20"/>
          <w:szCs w:val="20"/>
          <w:lang w:eastAsia="en-GB"/>
        </w:rPr>
        <w:t>"</w:t>
      </w:r>
      <w:r w:rsidRPr="009F00E5">
        <w:rPr>
          <w:rFonts w:ascii="Arial" w:hAnsi="Arial"/>
          <w:b/>
          <w:sz w:val="20"/>
          <w:szCs w:val="20"/>
          <w:lang w:eastAsia="en-GB"/>
        </w:rPr>
        <w:t>R</w:t>
      </w:r>
      <w:r w:rsidRPr="00344EC3">
        <w:rPr>
          <w:rFonts w:ascii="Arial" w:hAnsi="Arial"/>
          <w:b/>
          <w:bCs/>
          <w:sz w:val="20"/>
          <w:szCs w:val="20"/>
          <w:lang w:eastAsia="en-GB"/>
        </w:rPr>
        <w:t xml:space="preserve">elevant </w:t>
      </w:r>
      <w:r>
        <w:rPr>
          <w:rFonts w:ascii="Arial" w:hAnsi="Arial"/>
          <w:b/>
          <w:bCs/>
          <w:sz w:val="20"/>
          <w:szCs w:val="20"/>
          <w:lang w:eastAsia="en-GB"/>
        </w:rPr>
        <w:t>P</w:t>
      </w:r>
      <w:r w:rsidRPr="00344EC3">
        <w:rPr>
          <w:rFonts w:ascii="Arial" w:hAnsi="Arial"/>
          <w:b/>
          <w:bCs/>
          <w:sz w:val="20"/>
          <w:szCs w:val="20"/>
          <w:lang w:eastAsia="en-GB"/>
        </w:rPr>
        <w:t>ersons</w:t>
      </w:r>
      <w:r>
        <w:rPr>
          <w:rFonts w:ascii="Arial" w:hAnsi="Arial"/>
          <w:sz w:val="20"/>
          <w:szCs w:val="20"/>
          <w:lang w:eastAsia="en-GB"/>
        </w:rPr>
        <w:t>"</w:t>
      </w:r>
      <w:r w:rsidRPr="00344EC3">
        <w:rPr>
          <w:rFonts w:ascii="Arial" w:hAnsi="Arial"/>
          <w:sz w:val="20"/>
          <w:szCs w:val="20"/>
          <w:lang w:eastAsia="en-GB"/>
        </w:rPr>
        <w:t xml:space="preserve">). </w:t>
      </w:r>
      <w:r w:rsidRPr="00A0413C">
        <w:rPr>
          <w:rFonts w:ascii="Arial" w:hAnsi="Arial"/>
          <w:sz w:val="20"/>
          <w:szCs w:val="20"/>
          <w:lang w:eastAsia="en-GB"/>
        </w:rPr>
        <w:t xml:space="preserve">Any investment or investment activity to which this </w:t>
      </w:r>
      <w:r w:rsidR="00BF0E89">
        <w:rPr>
          <w:rFonts w:ascii="Arial" w:hAnsi="Arial"/>
          <w:sz w:val="20"/>
          <w:szCs w:val="20"/>
          <w:lang w:eastAsia="en-GB"/>
        </w:rPr>
        <w:t>a</w:t>
      </w:r>
      <w:r w:rsidR="00BF0E89" w:rsidRPr="00A0413C">
        <w:rPr>
          <w:rFonts w:ascii="Arial" w:hAnsi="Arial"/>
          <w:sz w:val="20"/>
          <w:szCs w:val="20"/>
          <w:lang w:eastAsia="en-GB"/>
        </w:rPr>
        <w:t xml:space="preserve">nnouncement </w:t>
      </w:r>
      <w:r w:rsidRPr="00A0413C">
        <w:rPr>
          <w:rFonts w:ascii="Arial" w:hAnsi="Arial"/>
          <w:sz w:val="20"/>
          <w:szCs w:val="20"/>
          <w:lang w:eastAsia="en-GB"/>
        </w:rPr>
        <w:t xml:space="preserve">relates is available in the EEA or the UK only to Relevant Persons and will be engaged in only with Relevant Persons. This </w:t>
      </w:r>
      <w:r w:rsidR="00BF0E89">
        <w:rPr>
          <w:rFonts w:ascii="Arial" w:hAnsi="Arial"/>
          <w:sz w:val="20"/>
          <w:szCs w:val="20"/>
          <w:lang w:eastAsia="en-GB"/>
        </w:rPr>
        <w:t>a</w:t>
      </w:r>
      <w:r w:rsidRPr="00A0413C">
        <w:rPr>
          <w:rFonts w:ascii="Arial" w:hAnsi="Arial"/>
          <w:sz w:val="20"/>
          <w:szCs w:val="20"/>
          <w:lang w:eastAsia="en-GB"/>
        </w:rPr>
        <w:t>nnouncement must not be acted on or relied on by persons in the EEA or the UK who are not Relevant Persons.</w:t>
      </w:r>
      <w:r w:rsidRPr="007633C3">
        <w:t xml:space="preserve"> </w:t>
      </w:r>
      <w:r w:rsidRPr="007633C3">
        <w:rPr>
          <w:rFonts w:ascii="Arial" w:hAnsi="Arial"/>
          <w:sz w:val="20"/>
          <w:szCs w:val="20"/>
          <w:lang w:eastAsia="en-GB"/>
        </w:rPr>
        <w:t xml:space="preserve">Any investment or investment activity to which this </w:t>
      </w:r>
      <w:r w:rsidR="00BF0E89">
        <w:rPr>
          <w:rFonts w:ascii="Arial" w:hAnsi="Arial"/>
          <w:sz w:val="20"/>
          <w:szCs w:val="20"/>
          <w:lang w:eastAsia="en-GB"/>
        </w:rPr>
        <w:t>a</w:t>
      </w:r>
      <w:r w:rsidR="00BF0E89" w:rsidRPr="007633C3">
        <w:rPr>
          <w:rFonts w:ascii="Arial" w:hAnsi="Arial"/>
          <w:sz w:val="20"/>
          <w:szCs w:val="20"/>
          <w:lang w:eastAsia="en-GB"/>
        </w:rPr>
        <w:t>nnouncement</w:t>
      </w:r>
      <w:r w:rsidR="00BF0E89">
        <w:rPr>
          <w:rFonts w:ascii="Arial" w:hAnsi="Arial"/>
          <w:sz w:val="20"/>
          <w:szCs w:val="20"/>
          <w:lang w:eastAsia="en-GB"/>
        </w:rPr>
        <w:t xml:space="preserve"> </w:t>
      </w:r>
      <w:r w:rsidRPr="007633C3">
        <w:rPr>
          <w:rFonts w:ascii="Arial" w:hAnsi="Arial"/>
          <w:sz w:val="20"/>
          <w:szCs w:val="20"/>
          <w:lang w:eastAsia="en-GB"/>
        </w:rPr>
        <w:t>relates is available only to Relevant Persons and will be engaged in only with Relevant</w:t>
      </w:r>
      <w:r>
        <w:rPr>
          <w:rFonts w:ascii="Arial" w:hAnsi="Arial"/>
          <w:sz w:val="20"/>
          <w:szCs w:val="20"/>
          <w:lang w:eastAsia="en-GB"/>
        </w:rPr>
        <w:t xml:space="preserve"> </w:t>
      </w:r>
      <w:r w:rsidRPr="007633C3">
        <w:rPr>
          <w:rFonts w:ascii="Arial" w:hAnsi="Arial"/>
          <w:sz w:val="20"/>
          <w:szCs w:val="20"/>
          <w:lang w:eastAsia="en-GB"/>
        </w:rPr>
        <w:t>Persons. This announcement must not be acted on or relied on by persons who are not</w:t>
      </w:r>
      <w:r>
        <w:rPr>
          <w:rFonts w:ascii="Arial" w:hAnsi="Arial"/>
          <w:sz w:val="20"/>
          <w:szCs w:val="20"/>
          <w:lang w:eastAsia="en-GB"/>
        </w:rPr>
        <w:t xml:space="preserve"> </w:t>
      </w:r>
      <w:r w:rsidRPr="007633C3">
        <w:rPr>
          <w:rFonts w:ascii="Arial" w:hAnsi="Arial"/>
          <w:sz w:val="20"/>
          <w:szCs w:val="20"/>
          <w:lang w:eastAsia="en-GB"/>
        </w:rPr>
        <w:t>Relevant Persons.</w:t>
      </w:r>
    </w:p>
    <w:p w:rsidR="00BA049B" w:rsidRPr="00344EC3"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The securities referred to herein have not been and will not be registered under the U</w:t>
      </w:r>
      <w:r>
        <w:rPr>
          <w:rFonts w:ascii="Arial" w:hAnsi="Arial"/>
          <w:sz w:val="20"/>
          <w:szCs w:val="20"/>
          <w:lang w:eastAsia="en-GB"/>
        </w:rPr>
        <w:t xml:space="preserve">nited </w:t>
      </w:r>
      <w:r w:rsidRPr="00344EC3">
        <w:rPr>
          <w:rFonts w:ascii="Arial" w:hAnsi="Arial"/>
          <w:sz w:val="20"/>
          <w:szCs w:val="20"/>
          <w:lang w:eastAsia="en-GB"/>
        </w:rPr>
        <w:t>S</w:t>
      </w:r>
      <w:r>
        <w:rPr>
          <w:rFonts w:ascii="Arial" w:hAnsi="Arial"/>
          <w:sz w:val="20"/>
          <w:szCs w:val="20"/>
          <w:lang w:eastAsia="en-GB"/>
        </w:rPr>
        <w:t>tates</w:t>
      </w:r>
      <w:r w:rsidRPr="00344EC3">
        <w:rPr>
          <w:rFonts w:ascii="Arial" w:hAnsi="Arial"/>
          <w:sz w:val="20"/>
          <w:szCs w:val="20"/>
          <w:lang w:eastAsia="en-GB"/>
        </w:rPr>
        <w:t xml:space="preserve"> Securities Act of 1933, as amended (the </w:t>
      </w:r>
      <w:r>
        <w:rPr>
          <w:rFonts w:ascii="Arial" w:hAnsi="Arial"/>
          <w:sz w:val="20"/>
          <w:szCs w:val="20"/>
          <w:lang w:eastAsia="en-GB"/>
        </w:rPr>
        <w:t>"</w:t>
      </w:r>
      <w:r w:rsidRPr="00344EC3">
        <w:rPr>
          <w:rFonts w:ascii="Arial" w:hAnsi="Arial"/>
          <w:b/>
          <w:sz w:val="20"/>
          <w:szCs w:val="20"/>
          <w:lang w:eastAsia="en-GB"/>
        </w:rPr>
        <w:t>Securities Act</w:t>
      </w:r>
      <w:r>
        <w:rPr>
          <w:rFonts w:ascii="Arial" w:hAnsi="Arial"/>
          <w:sz w:val="20"/>
          <w:szCs w:val="20"/>
          <w:lang w:eastAsia="en-GB"/>
        </w:rPr>
        <w:t>"</w:t>
      </w:r>
      <w:r w:rsidRPr="00344EC3">
        <w:rPr>
          <w:rFonts w:ascii="Arial" w:hAnsi="Arial"/>
          <w:sz w:val="20"/>
          <w:szCs w:val="20"/>
          <w:lang w:eastAsia="en-GB"/>
        </w:rPr>
        <w:t>), or under the securities laws of any state or other jurisdiction of the United States, and may not be offered or sold</w:t>
      </w:r>
      <w:r>
        <w:rPr>
          <w:rFonts w:ascii="Arial" w:hAnsi="Arial"/>
          <w:sz w:val="20"/>
          <w:szCs w:val="20"/>
          <w:lang w:eastAsia="en-GB"/>
        </w:rPr>
        <w:t>,</w:t>
      </w:r>
      <w:r w:rsidRPr="00344EC3">
        <w:rPr>
          <w:rFonts w:ascii="Arial" w:hAnsi="Arial"/>
          <w:sz w:val="20"/>
          <w:szCs w:val="20"/>
          <w:lang w:eastAsia="en-GB"/>
        </w:rPr>
        <w:t xml:space="preserve"> directly or indirectly</w:t>
      </w:r>
      <w:r>
        <w:rPr>
          <w:rFonts w:ascii="Arial" w:hAnsi="Arial"/>
          <w:sz w:val="20"/>
          <w:szCs w:val="20"/>
          <w:lang w:eastAsia="en-GB"/>
        </w:rPr>
        <w:t>,</w:t>
      </w:r>
      <w:r w:rsidRPr="00344EC3">
        <w:rPr>
          <w:rFonts w:ascii="Arial" w:hAnsi="Arial"/>
          <w:sz w:val="20"/>
          <w:szCs w:val="20"/>
          <w:lang w:eastAsia="en-GB"/>
        </w:rPr>
        <w:t xml:space="preserve"> in or into the United States </w:t>
      </w:r>
      <w:r>
        <w:rPr>
          <w:rFonts w:ascii="Arial" w:hAnsi="Arial"/>
          <w:sz w:val="20"/>
          <w:szCs w:val="20"/>
          <w:lang w:eastAsia="en-GB"/>
        </w:rPr>
        <w:t>absent registration under the Securities Act or</w:t>
      </w:r>
      <w:r w:rsidRPr="00344EC3">
        <w:rPr>
          <w:rFonts w:ascii="Arial" w:hAnsi="Arial"/>
          <w:sz w:val="20"/>
          <w:szCs w:val="20"/>
          <w:lang w:eastAsia="en-GB"/>
        </w:rPr>
        <w:t xml:space="preserve"> pursuant to an exemption from, or in a transaction not subject to, the registration requirements of the Securities Act and in compliance with the securities laws of any state or any other jur</w:t>
      </w:r>
      <w:r>
        <w:rPr>
          <w:rFonts w:ascii="Arial" w:hAnsi="Arial"/>
          <w:sz w:val="20"/>
          <w:szCs w:val="20"/>
          <w:lang w:eastAsia="en-GB"/>
        </w:rPr>
        <w:t>isdiction of the United States.  T</w:t>
      </w:r>
      <w:r w:rsidRPr="00CA428C">
        <w:rPr>
          <w:rFonts w:ascii="Arial" w:hAnsi="Arial"/>
          <w:sz w:val="20"/>
          <w:szCs w:val="20"/>
          <w:lang w:eastAsia="en-GB"/>
        </w:rPr>
        <w:t xml:space="preserve">he Placing Shares are being offered and sold by the Company </w:t>
      </w:r>
      <w:r>
        <w:rPr>
          <w:rFonts w:ascii="Arial" w:hAnsi="Arial"/>
          <w:sz w:val="20"/>
          <w:szCs w:val="20"/>
          <w:lang w:eastAsia="en-GB"/>
        </w:rPr>
        <w:t xml:space="preserve">(a) </w:t>
      </w:r>
      <w:r w:rsidRPr="00CA428C">
        <w:rPr>
          <w:rFonts w:ascii="Arial" w:hAnsi="Arial"/>
          <w:sz w:val="20"/>
          <w:szCs w:val="20"/>
          <w:lang w:eastAsia="en-GB"/>
        </w:rPr>
        <w:t xml:space="preserve">outside the United States in offshore transactions as defined in, and pursuant to, </w:t>
      </w:r>
      <w:r w:rsidRPr="00344EC3">
        <w:rPr>
          <w:rFonts w:ascii="Arial" w:hAnsi="Arial"/>
          <w:sz w:val="20"/>
          <w:szCs w:val="20"/>
          <w:lang w:eastAsia="en-GB"/>
        </w:rPr>
        <w:t>Regulation S under the Securities Act (</w:t>
      </w:r>
      <w:r>
        <w:rPr>
          <w:rFonts w:ascii="Arial" w:hAnsi="Arial"/>
          <w:sz w:val="20"/>
          <w:szCs w:val="20"/>
          <w:lang w:eastAsia="en-GB"/>
        </w:rPr>
        <w:t>"</w:t>
      </w:r>
      <w:r w:rsidRPr="00344EC3">
        <w:rPr>
          <w:rFonts w:ascii="Arial" w:hAnsi="Arial"/>
          <w:b/>
          <w:sz w:val="20"/>
          <w:szCs w:val="20"/>
          <w:lang w:eastAsia="en-GB"/>
        </w:rPr>
        <w:t>Regulation S</w:t>
      </w:r>
      <w:r>
        <w:rPr>
          <w:rFonts w:ascii="Arial" w:hAnsi="Arial"/>
          <w:sz w:val="20"/>
          <w:szCs w:val="20"/>
          <w:lang w:eastAsia="en-GB"/>
        </w:rPr>
        <w:t>"</w:t>
      </w:r>
      <w:r w:rsidRPr="00344EC3">
        <w:rPr>
          <w:rFonts w:ascii="Arial" w:hAnsi="Arial"/>
          <w:sz w:val="20"/>
          <w:szCs w:val="20"/>
          <w:lang w:eastAsia="en-GB"/>
        </w:rPr>
        <w:t>)</w:t>
      </w:r>
      <w:r>
        <w:rPr>
          <w:rFonts w:ascii="Arial" w:hAnsi="Arial"/>
          <w:sz w:val="20"/>
          <w:szCs w:val="20"/>
          <w:lang w:eastAsia="en-GB"/>
        </w:rPr>
        <w:t xml:space="preserve"> or (b) </w:t>
      </w:r>
      <w:r w:rsidRPr="00430F0A">
        <w:rPr>
          <w:rFonts w:ascii="Arial" w:hAnsi="Arial"/>
          <w:sz w:val="20"/>
          <w:szCs w:val="20"/>
          <w:lang w:eastAsia="en-GB"/>
        </w:rPr>
        <w:t>in the United States only to persons reasonably believed to be “qualified institutional buyers” (as defined in Rule 144A of the Securities Act) (“</w:t>
      </w:r>
      <w:r w:rsidRPr="00430F0A">
        <w:rPr>
          <w:rFonts w:ascii="Arial" w:hAnsi="Arial"/>
          <w:b/>
          <w:sz w:val="20"/>
          <w:szCs w:val="20"/>
          <w:lang w:eastAsia="en-GB"/>
        </w:rPr>
        <w:t>QIBs</w:t>
      </w:r>
      <w:r w:rsidRPr="00430F0A">
        <w:rPr>
          <w:rFonts w:ascii="Arial" w:hAnsi="Arial"/>
          <w:sz w:val="20"/>
          <w:szCs w:val="20"/>
          <w:lang w:eastAsia="en-GB"/>
        </w:rPr>
        <w:t>”) in transactions not involving any “public offering” within the meaning of Section 4(a)(2) of the Securities Act</w:t>
      </w:r>
      <w:r>
        <w:rPr>
          <w:rFonts w:ascii="Arial" w:hAnsi="Arial"/>
          <w:sz w:val="20"/>
          <w:szCs w:val="20"/>
          <w:lang w:eastAsia="en-GB"/>
        </w:rPr>
        <w:t xml:space="preserve"> pursuant to a transaction exempt from the registration requirements of the Securities Act</w:t>
      </w:r>
      <w:r w:rsidRPr="00430F0A">
        <w:rPr>
          <w:rFonts w:ascii="Arial" w:hAnsi="Arial"/>
          <w:sz w:val="20"/>
          <w:szCs w:val="20"/>
          <w:lang w:eastAsia="en-GB"/>
        </w:rPr>
        <w:t xml:space="preserve"> and/or</w:t>
      </w:r>
      <w:r w:rsidRPr="00CA428C">
        <w:rPr>
          <w:rFonts w:ascii="Arial" w:hAnsi="Arial"/>
          <w:sz w:val="20"/>
          <w:szCs w:val="20"/>
          <w:lang w:eastAsia="en-GB"/>
        </w:rPr>
        <w:t xml:space="preserve"> pursuant to an</w:t>
      </w:r>
      <w:r>
        <w:rPr>
          <w:rFonts w:ascii="Arial" w:hAnsi="Arial"/>
          <w:sz w:val="20"/>
          <w:szCs w:val="20"/>
          <w:lang w:eastAsia="en-GB"/>
        </w:rPr>
        <w:t>other</w:t>
      </w:r>
      <w:r w:rsidRPr="00CA428C">
        <w:rPr>
          <w:rFonts w:ascii="Arial" w:hAnsi="Arial"/>
          <w:sz w:val="20"/>
          <w:szCs w:val="20"/>
          <w:lang w:eastAsia="en-GB"/>
        </w:rPr>
        <w:t xml:space="preserve"> exemption from, or</w:t>
      </w:r>
      <w:r>
        <w:rPr>
          <w:rFonts w:ascii="Arial" w:hAnsi="Arial"/>
          <w:sz w:val="20"/>
          <w:szCs w:val="20"/>
          <w:lang w:eastAsia="en-GB"/>
        </w:rPr>
        <w:t xml:space="preserve"> in a</w:t>
      </w:r>
      <w:r w:rsidRPr="00CA428C">
        <w:rPr>
          <w:rFonts w:ascii="Arial" w:hAnsi="Arial"/>
          <w:sz w:val="20"/>
          <w:szCs w:val="20"/>
          <w:lang w:eastAsia="en-GB"/>
        </w:rPr>
        <w:t xml:space="preserve"> transaction not subject to, the registration requirements of the Securities Act. </w:t>
      </w:r>
      <w:r>
        <w:rPr>
          <w:rFonts w:ascii="Arial" w:hAnsi="Arial"/>
          <w:sz w:val="20"/>
          <w:szCs w:val="20"/>
          <w:lang w:eastAsia="en-GB"/>
        </w:rPr>
        <w:t>A potential Placee</w:t>
      </w:r>
      <w:r w:rsidRPr="00CA428C">
        <w:rPr>
          <w:rFonts w:ascii="Arial" w:hAnsi="Arial"/>
          <w:sz w:val="20"/>
          <w:szCs w:val="20"/>
          <w:lang w:eastAsia="en-GB"/>
        </w:rPr>
        <w:t xml:space="preserve"> and the prospective beneficial owner of the Placing Shares is, and at the time the Placing Shares are subscribed for will be</w:t>
      </w:r>
      <w:r>
        <w:rPr>
          <w:rFonts w:ascii="Arial" w:hAnsi="Arial"/>
          <w:sz w:val="20"/>
          <w:szCs w:val="20"/>
          <w:lang w:eastAsia="en-GB"/>
        </w:rPr>
        <w:t>,</w:t>
      </w:r>
      <w:r w:rsidRPr="00CA428C">
        <w:rPr>
          <w:rFonts w:ascii="Arial" w:hAnsi="Arial"/>
          <w:sz w:val="20"/>
          <w:szCs w:val="20"/>
          <w:lang w:eastAsia="en-GB"/>
        </w:rPr>
        <w:t xml:space="preserve"> </w:t>
      </w:r>
      <w:r>
        <w:rPr>
          <w:rFonts w:ascii="Arial" w:hAnsi="Arial"/>
          <w:sz w:val="20"/>
          <w:szCs w:val="20"/>
          <w:lang w:eastAsia="en-GB"/>
        </w:rPr>
        <w:t xml:space="preserve">(i) </w:t>
      </w:r>
      <w:r w:rsidRPr="00CA428C">
        <w:rPr>
          <w:rFonts w:ascii="Arial" w:hAnsi="Arial"/>
          <w:sz w:val="20"/>
          <w:szCs w:val="20"/>
          <w:lang w:eastAsia="en-GB"/>
        </w:rPr>
        <w:t>outside the United States and subscribing for the Placing Shares in an “offshore transaction” as defined in, and in accordance with, Regulation S</w:t>
      </w:r>
      <w:r w:rsidRPr="00430F0A">
        <w:rPr>
          <w:rFonts w:ascii="Arial" w:hAnsi="Arial"/>
          <w:sz w:val="20"/>
          <w:szCs w:val="20"/>
          <w:lang w:eastAsia="en-GB"/>
        </w:rPr>
        <w:t xml:space="preserve">; or (ii) (a) a </w:t>
      </w:r>
      <w:r>
        <w:rPr>
          <w:rFonts w:ascii="Arial" w:hAnsi="Arial"/>
          <w:sz w:val="20"/>
          <w:szCs w:val="20"/>
          <w:lang w:eastAsia="en-GB"/>
        </w:rPr>
        <w:t>QIB</w:t>
      </w:r>
      <w:r w:rsidRPr="00430F0A">
        <w:rPr>
          <w:rFonts w:ascii="Arial" w:hAnsi="Arial"/>
          <w:sz w:val="20"/>
          <w:szCs w:val="20"/>
          <w:lang w:eastAsia="en-GB"/>
        </w:rPr>
        <w:t xml:space="preserve"> and (b) subscribing for the Placing Shares pursuant to an exemption from, or in a transaction not subject to, the registration requirements under the Securities A</w:t>
      </w:r>
      <w:r>
        <w:rPr>
          <w:rFonts w:ascii="Arial" w:hAnsi="Arial"/>
          <w:sz w:val="20"/>
          <w:szCs w:val="20"/>
          <w:lang w:eastAsia="en-GB"/>
        </w:rPr>
        <w:t xml:space="preserve">ct. </w:t>
      </w:r>
      <w:r w:rsidRPr="00344EC3">
        <w:rPr>
          <w:rFonts w:ascii="Arial" w:hAnsi="Arial"/>
          <w:sz w:val="20"/>
          <w:szCs w:val="20"/>
          <w:lang w:eastAsia="en-GB"/>
        </w:rPr>
        <w:t>No public offering of securities is being made in the United States</w:t>
      </w:r>
      <w:r w:rsidR="00BF0E89">
        <w:rPr>
          <w:rFonts w:ascii="Arial" w:hAnsi="Arial"/>
          <w:sz w:val="20"/>
          <w:szCs w:val="20"/>
          <w:lang w:eastAsia="en-GB"/>
        </w:rPr>
        <w:t xml:space="preserve"> or elsewhere</w:t>
      </w:r>
      <w:r w:rsidRPr="00344EC3">
        <w:rPr>
          <w:rFonts w:ascii="Arial" w:hAnsi="Arial"/>
          <w:sz w:val="20"/>
          <w:szCs w:val="20"/>
          <w:lang w:eastAsia="en-GB"/>
        </w:rPr>
        <w:t xml:space="preserve">.  </w:t>
      </w:r>
    </w:p>
    <w:p w:rsidR="00BA049B" w:rsidRDefault="00BA049B" w:rsidP="00FD13A3">
      <w:pPr>
        <w:shd w:val="clear" w:color="auto" w:fill="FFFFFF"/>
        <w:spacing w:after="225" w:line="276" w:lineRule="auto"/>
        <w:jc w:val="both"/>
        <w:rPr>
          <w:rFonts w:ascii="Arial" w:hAnsi="Arial"/>
          <w:sz w:val="20"/>
          <w:szCs w:val="20"/>
          <w:lang w:eastAsia="en-GB"/>
        </w:rPr>
      </w:pPr>
      <w:r w:rsidRPr="0070138E">
        <w:rPr>
          <w:rFonts w:ascii="Arial" w:hAnsi="Arial"/>
          <w:sz w:val="20"/>
          <w:szCs w:val="20"/>
          <w:lang w:eastAsia="en-GB"/>
        </w:rPr>
        <w:t>A prospectus has not been and will not be filed with any securities regulator in Canada in connection</w:t>
      </w:r>
      <w:r>
        <w:rPr>
          <w:rFonts w:ascii="Arial" w:hAnsi="Arial"/>
          <w:sz w:val="20"/>
          <w:szCs w:val="20"/>
          <w:lang w:eastAsia="en-GB"/>
        </w:rPr>
        <w:t xml:space="preserve"> </w:t>
      </w:r>
      <w:r w:rsidRPr="0070138E">
        <w:rPr>
          <w:rFonts w:ascii="Arial" w:hAnsi="Arial"/>
          <w:sz w:val="20"/>
          <w:szCs w:val="20"/>
          <w:lang w:eastAsia="en-GB"/>
        </w:rPr>
        <w:t>with the sale of the Placing Shares and the Placing Shares may not be offered or sold within Canada</w:t>
      </w:r>
      <w:r>
        <w:rPr>
          <w:rFonts w:ascii="Arial" w:hAnsi="Arial"/>
          <w:sz w:val="20"/>
          <w:szCs w:val="20"/>
          <w:lang w:eastAsia="en-GB"/>
        </w:rPr>
        <w:t xml:space="preserve"> </w:t>
      </w:r>
      <w:r w:rsidRPr="0070138E">
        <w:rPr>
          <w:rFonts w:ascii="Arial" w:hAnsi="Arial"/>
          <w:sz w:val="20"/>
          <w:szCs w:val="20"/>
          <w:lang w:eastAsia="en-GB"/>
        </w:rPr>
        <w:t>except pursuant to an exemption from, or in a transaction not subject to, the prospectus requirements</w:t>
      </w:r>
      <w:r>
        <w:rPr>
          <w:rFonts w:ascii="Arial" w:hAnsi="Arial"/>
          <w:sz w:val="20"/>
          <w:szCs w:val="20"/>
          <w:lang w:eastAsia="en-GB"/>
        </w:rPr>
        <w:t xml:space="preserve"> </w:t>
      </w:r>
      <w:r w:rsidRPr="0070138E">
        <w:rPr>
          <w:rFonts w:ascii="Arial" w:hAnsi="Arial"/>
          <w:sz w:val="20"/>
          <w:szCs w:val="20"/>
          <w:lang w:eastAsia="en-GB"/>
        </w:rPr>
        <w:t>of Canadian securities laws.</w:t>
      </w:r>
    </w:p>
    <w:p w:rsidR="00BA049B" w:rsidRPr="00344EC3" w:rsidRDefault="00BA049B" w:rsidP="00FD13A3">
      <w:pPr>
        <w:shd w:val="clear" w:color="auto" w:fill="FFFFFF"/>
        <w:spacing w:after="225" w:line="276" w:lineRule="auto"/>
        <w:jc w:val="both"/>
        <w:rPr>
          <w:rFonts w:ascii="Arial" w:hAnsi="Arial"/>
          <w:sz w:val="20"/>
          <w:szCs w:val="20"/>
          <w:lang w:eastAsia="en-GB"/>
        </w:rPr>
      </w:pPr>
      <w:r>
        <w:rPr>
          <w:rFonts w:ascii="Arial" w:hAnsi="Arial"/>
          <w:sz w:val="20"/>
          <w:szCs w:val="20"/>
          <w:lang w:eastAsia="en-GB"/>
        </w:rPr>
        <w:t>No</w:t>
      </w:r>
      <w:r w:rsidRPr="00344EC3">
        <w:rPr>
          <w:rFonts w:ascii="Arial" w:hAnsi="Arial"/>
          <w:sz w:val="20"/>
          <w:szCs w:val="20"/>
          <w:lang w:eastAsia="en-GB"/>
        </w:rPr>
        <w:t xml:space="preserve"> prospectus has been lodged with, or registered by, the Australian Securities and Investments Commission or the Japanese Ministry of Finance; the relevant clearances have not been, and will not be, obtained for the South Africa Reserve Bank or any other applicable body in the Republic of South Africa in relation to the Placing Shares and the Placing Shares have not been, nor will they be, registered under or offering in compliance with the securities laws of any state, pro</w:t>
      </w:r>
      <w:r>
        <w:rPr>
          <w:rFonts w:ascii="Arial" w:hAnsi="Arial"/>
          <w:sz w:val="20"/>
          <w:szCs w:val="20"/>
          <w:lang w:eastAsia="en-GB"/>
        </w:rPr>
        <w:t>vince or territory of Australia,</w:t>
      </w:r>
      <w:r w:rsidRPr="00344EC3">
        <w:rPr>
          <w:rFonts w:ascii="Arial" w:hAnsi="Arial"/>
          <w:sz w:val="20"/>
          <w:szCs w:val="20"/>
          <w:lang w:eastAsia="en-GB"/>
        </w:rPr>
        <w:t xml:space="preserve"> the Republic of South Africa or Japan.  Accordingly, the Placing Shares may not (unless an exemption under the relevant securities laws is applicable) be offered, sold, resold or delivered, directly or i</w:t>
      </w:r>
      <w:r>
        <w:rPr>
          <w:rFonts w:ascii="Arial" w:hAnsi="Arial"/>
          <w:sz w:val="20"/>
          <w:szCs w:val="20"/>
          <w:lang w:eastAsia="en-GB"/>
        </w:rPr>
        <w:t>ndirectly, in or into Australia,</w:t>
      </w:r>
      <w:r w:rsidRPr="00344EC3">
        <w:rPr>
          <w:rFonts w:ascii="Arial" w:hAnsi="Arial"/>
          <w:sz w:val="20"/>
          <w:szCs w:val="20"/>
          <w:lang w:eastAsia="en-GB"/>
        </w:rPr>
        <w:t xml:space="preserve"> the Republic of South Africa, or Japan or any other jurisdiction in which such activities would be unlawful.</w:t>
      </w:r>
    </w:p>
    <w:p w:rsidR="00BA049B" w:rsidRDefault="00BA049B" w:rsidP="00FD13A3">
      <w:pPr>
        <w:shd w:val="clear" w:color="auto" w:fill="FFFFFF"/>
        <w:spacing w:after="225" w:line="276" w:lineRule="auto"/>
        <w:jc w:val="both"/>
        <w:rPr>
          <w:rFonts w:ascii="Arial" w:hAnsi="Arial"/>
          <w:sz w:val="20"/>
          <w:szCs w:val="20"/>
          <w:lang w:eastAsia="en-GB"/>
        </w:rPr>
      </w:pPr>
      <w:r w:rsidRPr="00006B80">
        <w:rPr>
          <w:rFonts w:ascii="Arial" w:hAnsi="Arial"/>
          <w:sz w:val="20"/>
          <w:szCs w:val="20"/>
          <w:lang w:eastAsia="en-GB"/>
        </w:rPr>
        <w:t xml:space="preserve">Certain statements contained in this </w:t>
      </w:r>
      <w:r w:rsidR="004224B6">
        <w:rPr>
          <w:rFonts w:ascii="Arial" w:hAnsi="Arial"/>
          <w:sz w:val="20"/>
          <w:szCs w:val="20"/>
          <w:lang w:eastAsia="en-GB"/>
        </w:rPr>
        <w:t>a</w:t>
      </w:r>
      <w:r w:rsidR="004224B6" w:rsidRPr="00006B80">
        <w:rPr>
          <w:rFonts w:ascii="Arial" w:hAnsi="Arial"/>
          <w:sz w:val="20"/>
          <w:szCs w:val="20"/>
          <w:lang w:eastAsia="en-GB"/>
        </w:rPr>
        <w:t xml:space="preserve">nnouncement </w:t>
      </w:r>
      <w:r w:rsidR="00C34092">
        <w:rPr>
          <w:rFonts w:ascii="Arial" w:hAnsi="Arial"/>
          <w:sz w:val="20"/>
          <w:szCs w:val="20"/>
          <w:lang w:eastAsia="en-GB"/>
        </w:rPr>
        <w:t xml:space="preserve">may </w:t>
      </w:r>
      <w:r w:rsidRPr="00006B80">
        <w:rPr>
          <w:rFonts w:ascii="Arial" w:hAnsi="Arial"/>
          <w:sz w:val="20"/>
          <w:szCs w:val="20"/>
          <w:lang w:eastAsia="en-GB"/>
        </w:rPr>
        <w:t xml:space="preserve">constitute “forward-looking statements” with respect to the financial condition, performance, strategic initiatives, objectives, results of operations and business of the Company. All statements other than statements of historical facts included in this Announcement are, or may be deemed to be, forward-looking statements. Without limitation, any statements preceded or followed by or that include the words ‘‘targets’’, ‘‘plans’’, ‘‘believes’’, ‘‘expects’’, ‘‘aims’’, ‘‘intends’’, ‘‘anticipates’’, ‘‘estimates’’, ‘‘projects’’, ‘‘will’’, ‘‘may’’, “would”, “could” or “should”, or words or terms of similar substance or the negative thereof, are forward-looking statements. Forward-looking statements include statements relating to the following: (i) future capital expenditures, expenses, revenues, earnings, synergies, economic performance, indebtedness, financial condition, dividend policy, losses and future prospects; and (ii) business and management strategies and the expansion and growth of the Company’s operations. Such forward-looking statements involve risks and uncertainties that could significantly affect expected results and are based on certain key assumptions. Many factors could cause actual results, performance or achievements to differ materially from those projected or implied in any forward-looking statements. The important factors that could cause the Company’s actual results, performance or achievements to differ materially from those in the forward-looking statements include, among others, economic and business cycles, the terms and conditions of the Company’s financing arrangements, foreign currency rate fluctuations, competition in the Company’s principal markets, acquisitions or disposals of businesses or assets and trends in the Company’s principal industries. Due to such uncertainties and risks, you are cautioned not to place undue reliance on such forward-looking statements, which speak only as of the date hereof. In light of these risks, uncertainties and assumptions, the events described in the forward-looking statements in this </w:t>
      </w:r>
      <w:r w:rsidR="004224B6">
        <w:rPr>
          <w:rFonts w:ascii="Arial" w:hAnsi="Arial"/>
          <w:sz w:val="20"/>
          <w:szCs w:val="20"/>
          <w:lang w:eastAsia="en-GB"/>
        </w:rPr>
        <w:t>a</w:t>
      </w:r>
      <w:r w:rsidR="004224B6" w:rsidRPr="00006B80">
        <w:rPr>
          <w:rFonts w:ascii="Arial" w:hAnsi="Arial"/>
          <w:sz w:val="20"/>
          <w:szCs w:val="20"/>
          <w:lang w:eastAsia="en-GB"/>
        </w:rPr>
        <w:t xml:space="preserve">nnouncement </w:t>
      </w:r>
      <w:r w:rsidRPr="00006B80">
        <w:rPr>
          <w:rFonts w:ascii="Arial" w:hAnsi="Arial"/>
          <w:sz w:val="20"/>
          <w:szCs w:val="20"/>
          <w:lang w:eastAsia="en-GB"/>
        </w:rPr>
        <w:t xml:space="preserve">may not occur. The forward-looking statements contained in this </w:t>
      </w:r>
      <w:r w:rsidR="004224B6">
        <w:rPr>
          <w:rFonts w:ascii="Arial" w:hAnsi="Arial"/>
          <w:sz w:val="20"/>
          <w:szCs w:val="20"/>
          <w:lang w:eastAsia="en-GB"/>
        </w:rPr>
        <w:t>a</w:t>
      </w:r>
      <w:r w:rsidR="004224B6" w:rsidRPr="00006B80">
        <w:rPr>
          <w:rFonts w:ascii="Arial" w:hAnsi="Arial"/>
          <w:sz w:val="20"/>
          <w:szCs w:val="20"/>
          <w:lang w:eastAsia="en-GB"/>
        </w:rPr>
        <w:t xml:space="preserve">nnouncement </w:t>
      </w:r>
      <w:r w:rsidRPr="00006B80">
        <w:rPr>
          <w:rFonts w:ascii="Arial" w:hAnsi="Arial"/>
          <w:sz w:val="20"/>
          <w:szCs w:val="20"/>
          <w:lang w:eastAsia="en-GB"/>
        </w:rPr>
        <w:t xml:space="preserve">speak only as of the date of this </w:t>
      </w:r>
      <w:r w:rsidR="004224B6">
        <w:rPr>
          <w:rFonts w:ascii="Arial" w:hAnsi="Arial"/>
          <w:sz w:val="20"/>
          <w:szCs w:val="20"/>
          <w:lang w:eastAsia="en-GB"/>
        </w:rPr>
        <w:t>announcement</w:t>
      </w:r>
      <w:r>
        <w:rPr>
          <w:rFonts w:ascii="Arial" w:hAnsi="Arial"/>
          <w:sz w:val="20"/>
          <w:szCs w:val="20"/>
          <w:lang w:eastAsia="en-GB"/>
        </w:rPr>
        <w:t>. The Company, its D</w:t>
      </w:r>
      <w:r w:rsidRPr="00006B80">
        <w:rPr>
          <w:rFonts w:ascii="Arial" w:hAnsi="Arial"/>
          <w:sz w:val="20"/>
          <w:szCs w:val="20"/>
          <w:lang w:eastAsia="en-GB"/>
        </w:rPr>
        <w:t xml:space="preserve">irectors, </w:t>
      </w:r>
      <w:r>
        <w:rPr>
          <w:rFonts w:ascii="Arial" w:hAnsi="Arial"/>
          <w:sz w:val="20"/>
          <w:szCs w:val="20"/>
          <w:lang w:eastAsia="en-GB"/>
        </w:rPr>
        <w:t xml:space="preserve">Investec </w:t>
      </w:r>
      <w:r w:rsidRPr="00006B80">
        <w:rPr>
          <w:rFonts w:ascii="Arial" w:hAnsi="Arial"/>
          <w:sz w:val="20"/>
          <w:szCs w:val="20"/>
          <w:lang w:eastAsia="en-GB"/>
        </w:rPr>
        <w:t xml:space="preserve">and their respective Affiliates and any person acting on its or their behalf each expressly disclaim any obligation or undertaking to update or revise publicly any forward-looking statements, whether as a result of new information, future events or otherwise, unless required to do so by applicable law or regulation, the Listing Rules, MAR, the DTRs, the rules of the London Stock Exchange or the </w:t>
      </w:r>
      <w:r>
        <w:rPr>
          <w:rFonts w:ascii="Arial" w:hAnsi="Arial"/>
          <w:sz w:val="20"/>
          <w:szCs w:val="20"/>
          <w:lang w:eastAsia="en-GB"/>
        </w:rPr>
        <w:t>FCA</w:t>
      </w:r>
      <w:r w:rsidRPr="00006B80">
        <w:rPr>
          <w:rFonts w:ascii="Arial" w:hAnsi="Arial"/>
          <w:sz w:val="20"/>
          <w:szCs w:val="20"/>
          <w:lang w:eastAsia="en-GB"/>
        </w:rPr>
        <w:t>.</w:t>
      </w:r>
    </w:p>
    <w:p w:rsidR="00BA049B" w:rsidRPr="00FE6C0E" w:rsidRDefault="00BA049B" w:rsidP="00FD13A3">
      <w:pPr>
        <w:shd w:val="clear" w:color="auto" w:fill="FFFFFF"/>
        <w:spacing w:after="225" w:line="276" w:lineRule="auto"/>
        <w:jc w:val="both"/>
        <w:rPr>
          <w:rFonts w:ascii="Arial" w:hAnsi="Arial"/>
          <w:b/>
          <w:i/>
          <w:sz w:val="20"/>
          <w:szCs w:val="20"/>
          <w:lang w:eastAsia="en-GB"/>
        </w:rPr>
      </w:pPr>
      <w:r>
        <w:rPr>
          <w:rFonts w:ascii="Arial" w:hAnsi="Arial"/>
          <w:sz w:val="20"/>
          <w:szCs w:val="20"/>
          <w:lang w:eastAsia="en-GB"/>
        </w:rPr>
        <w:t>Investec</w:t>
      </w:r>
      <w:r w:rsidRPr="00344EC3">
        <w:rPr>
          <w:rFonts w:ascii="Arial" w:hAnsi="Arial"/>
          <w:sz w:val="20"/>
          <w:szCs w:val="20"/>
          <w:lang w:eastAsia="en-GB"/>
        </w:rPr>
        <w:t xml:space="preserve"> is authorised by the Prudential Regulatory Authority</w:t>
      </w:r>
      <w:r>
        <w:rPr>
          <w:rFonts w:ascii="Arial" w:hAnsi="Arial"/>
          <w:sz w:val="20"/>
          <w:szCs w:val="20"/>
          <w:lang w:eastAsia="en-GB"/>
        </w:rPr>
        <w:t xml:space="preserve"> (the “</w:t>
      </w:r>
      <w:r>
        <w:rPr>
          <w:rFonts w:ascii="Arial" w:hAnsi="Arial"/>
          <w:b/>
          <w:sz w:val="20"/>
          <w:szCs w:val="20"/>
          <w:lang w:eastAsia="en-GB"/>
        </w:rPr>
        <w:t>PRA</w:t>
      </w:r>
      <w:r>
        <w:rPr>
          <w:rFonts w:ascii="Arial" w:hAnsi="Arial"/>
          <w:sz w:val="20"/>
          <w:szCs w:val="20"/>
          <w:lang w:eastAsia="en-GB"/>
        </w:rPr>
        <w:t>”)</w:t>
      </w:r>
      <w:r w:rsidRPr="00344EC3">
        <w:rPr>
          <w:rFonts w:ascii="Arial" w:hAnsi="Arial"/>
          <w:sz w:val="20"/>
          <w:szCs w:val="20"/>
          <w:lang w:eastAsia="en-GB"/>
        </w:rPr>
        <w:t xml:space="preserve"> and regulated in the United Kingdom by the </w:t>
      </w:r>
      <w:r>
        <w:rPr>
          <w:rFonts w:ascii="Arial" w:hAnsi="Arial"/>
          <w:sz w:val="20"/>
          <w:szCs w:val="20"/>
          <w:lang w:eastAsia="en-GB"/>
        </w:rPr>
        <w:t xml:space="preserve">PRA </w:t>
      </w:r>
      <w:r w:rsidRPr="00344EC3">
        <w:rPr>
          <w:rFonts w:ascii="Arial" w:hAnsi="Arial"/>
          <w:sz w:val="20"/>
          <w:szCs w:val="20"/>
          <w:lang w:eastAsia="en-GB"/>
        </w:rPr>
        <w:t xml:space="preserve">and the </w:t>
      </w:r>
      <w:r>
        <w:rPr>
          <w:rFonts w:ascii="Arial" w:hAnsi="Arial"/>
          <w:sz w:val="20"/>
          <w:szCs w:val="20"/>
          <w:lang w:eastAsia="en-GB"/>
        </w:rPr>
        <w:t>FCA</w:t>
      </w:r>
      <w:r w:rsidRPr="00344EC3">
        <w:rPr>
          <w:rFonts w:ascii="Arial" w:hAnsi="Arial"/>
          <w:sz w:val="20"/>
          <w:szCs w:val="20"/>
          <w:lang w:eastAsia="en-GB"/>
        </w:rPr>
        <w:t>. </w:t>
      </w:r>
      <w:r>
        <w:rPr>
          <w:rFonts w:ascii="Arial" w:hAnsi="Arial"/>
          <w:sz w:val="20"/>
          <w:szCs w:val="20"/>
          <w:lang w:eastAsia="en-GB"/>
        </w:rPr>
        <w:t xml:space="preserve">Investec </w:t>
      </w:r>
      <w:r w:rsidRPr="00344EC3">
        <w:rPr>
          <w:rFonts w:ascii="Arial" w:hAnsi="Arial"/>
          <w:sz w:val="20"/>
          <w:szCs w:val="20"/>
          <w:lang w:eastAsia="en-GB"/>
        </w:rPr>
        <w:t>is acting exclusively for the Company and no one else in connection with the Placing, the content</w:t>
      </w:r>
      <w:r>
        <w:rPr>
          <w:rFonts w:ascii="Arial" w:hAnsi="Arial"/>
          <w:sz w:val="20"/>
          <w:szCs w:val="20"/>
          <w:lang w:eastAsia="en-GB"/>
        </w:rPr>
        <w:t>s</w:t>
      </w:r>
      <w:r w:rsidRPr="00344EC3">
        <w:rPr>
          <w:rFonts w:ascii="Arial" w:hAnsi="Arial"/>
          <w:sz w:val="20"/>
          <w:szCs w:val="20"/>
          <w:lang w:eastAsia="en-GB"/>
        </w:rPr>
        <w:t xml:space="preserve"> of this Announcement and other matters described in this Announcement.  </w:t>
      </w:r>
      <w:r>
        <w:rPr>
          <w:rFonts w:ascii="Arial" w:hAnsi="Arial"/>
          <w:sz w:val="20"/>
          <w:szCs w:val="20"/>
          <w:lang w:eastAsia="en-GB"/>
        </w:rPr>
        <w:t>Investec</w:t>
      </w:r>
      <w:r w:rsidRPr="00344EC3">
        <w:rPr>
          <w:rFonts w:ascii="Arial" w:hAnsi="Arial"/>
          <w:sz w:val="20"/>
          <w:szCs w:val="20"/>
          <w:lang w:eastAsia="en-GB"/>
        </w:rPr>
        <w:t xml:space="preserve"> will not regard any other person as </w:t>
      </w:r>
      <w:r>
        <w:rPr>
          <w:rFonts w:ascii="Arial" w:hAnsi="Arial"/>
          <w:sz w:val="20"/>
          <w:szCs w:val="20"/>
          <w:lang w:eastAsia="en-GB"/>
        </w:rPr>
        <w:t>its client</w:t>
      </w:r>
      <w:r w:rsidRPr="00344EC3">
        <w:rPr>
          <w:rFonts w:ascii="Arial" w:hAnsi="Arial"/>
          <w:sz w:val="20"/>
          <w:szCs w:val="20"/>
          <w:lang w:eastAsia="en-GB"/>
        </w:rPr>
        <w:t xml:space="preserve"> in relation to the Placing, the content</w:t>
      </w:r>
      <w:r>
        <w:rPr>
          <w:rFonts w:ascii="Arial" w:hAnsi="Arial"/>
          <w:sz w:val="20"/>
          <w:szCs w:val="20"/>
          <w:lang w:eastAsia="en-GB"/>
        </w:rPr>
        <w:t>s</w:t>
      </w:r>
      <w:r w:rsidRPr="00344EC3">
        <w:rPr>
          <w:rFonts w:ascii="Arial" w:hAnsi="Arial"/>
          <w:sz w:val="20"/>
          <w:szCs w:val="20"/>
          <w:lang w:eastAsia="en-GB"/>
        </w:rPr>
        <w:t xml:space="preserve"> of this </w:t>
      </w:r>
      <w:r w:rsidR="004224B6">
        <w:rPr>
          <w:rFonts w:ascii="Arial" w:hAnsi="Arial"/>
          <w:sz w:val="20"/>
          <w:szCs w:val="20"/>
          <w:lang w:eastAsia="en-GB"/>
        </w:rPr>
        <w:t>a</w:t>
      </w:r>
      <w:r w:rsidR="004224B6" w:rsidRPr="00344EC3">
        <w:rPr>
          <w:rFonts w:ascii="Arial" w:hAnsi="Arial"/>
          <w:sz w:val="20"/>
          <w:szCs w:val="20"/>
          <w:lang w:eastAsia="en-GB"/>
        </w:rPr>
        <w:t xml:space="preserve">nnouncement </w:t>
      </w:r>
      <w:r w:rsidRPr="00344EC3">
        <w:rPr>
          <w:rFonts w:ascii="Arial" w:hAnsi="Arial"/>
          <w:sz w:val="20"/>
          <w:szCs w:val="20"/>
          <w:lang w:eastAsia="en-GB"/>
        </w:rPr>
        <w:t xml:space="preserve">and other matters described in this </w:t>
      </w:r>
      <w:r w:rsidR="004224B6">
        <w:rPr>
          <w:rFonts w:ascii="Arial" w:hAnsi="Arial"/>
          <w:sz w:val="20"/>
          <w:szCs w:val="20"/>
          <w:lang w:eastAsia="en-GB"/>
        </w:rPr>
        <w:t>a</w:t>
      </w:r>
      <w:r w:rsidR="004224B6" w:rsidRPr="00344EC3">
        <w:rPr>
          <w:rFonts w:ascii="Arial" w:hAnsi="Arial"/>
          <w:sz w:val="20"/>
          <w:szCs w:val="20"/>
          <w:lang w:eastAsia="en-GB"/>
        </w:rPr>
        <w:t xml:space="preserve">nnouncement </w:t>
      </w:r>
      <w:r w:rsidRPr="00344EC3">
        <w:rPr>
          <w:rFonts w:ascii="Arial" w:hAnsi="Arial"/>
          <w:sz w:val="20"/>
          <w:szCs w:val="20"/>
          <w:lang w:eastAsia="en-GB"/>
        </w:rPr>
        <w:t xml:space="preserve">and will not be responsible to anyone (including any Placees) other than the Company for providing the protections afforded to </w:t>
      </w:r>
      <w:r>
        <w:rPr>
          <w:rFonts w:ascii="Arial" w:hAnsi="Arial"/>
          <w:sz w:val="20"/>
          <w:szCs w:val="20"/>
          <w:lang w:eastAsia="en-GB"/>
        </w:rPr>
        <w:t>its</w:t>
      </w:r>
      <w:r w:rsidRPr="00344EC3">
        <w:rPr>
          <w:rFonts w:ascii="Arial" w:hAnsi="Arial"/>
          <w:sz w:val="20"/>
          <w:szCs w:val="20"/>
          <w:lang w:eastAsia="en-GB"/>
        </w:rPr>
        <w:t xml:space="preserve"> clients or for providing advice to any other person in relation to the Placing, the content of this </w:t>
      </w:r>
      <w:r w:rsidR="004224B6">
        <w:rPr>
          <w:rFonts w:ascii="Arial" w:hAnsi="Arial"/>
          <w:sz w:val="20"/>
          <w:szCs w:val="20"/>
          <w:lang w:eastAsia="en-GB"/>
        </w:rPr>
        <w:t>a</w:t>
      </w:r>
      <w:r w:rsidR="004224B6" w:rsidRPr="00344EC3">
        <w:rPr>
          <w:rFonts w:ascii="Arial" w:hAnsi="Arial"/>
          <w:sz w:val="20"/>
          <w:szCs w:val="20"/>
          <w:lang w:eastAsia="en-GB"/>
        </w:rPr>
        <w:t xml:space="preserve">nnouncement </w:t>
      </w:r>
      <w:r w:rsidRPr="00344EC3">
        <w:rPr>
          <w:rFonts w:ascii="Arial" w:hAnsi="Arial"/>
          <w:sz w:val="20"/>
          <w:szCs w:val="20"/>
          <w:lang w:eastAsia="en-GB"/>
        </w:rPr>
        <w:t xml:space="preserve">or any other matters referred to in this </w:t>
      </w:r>
      <w:r w:rsidR="004224B6">
        <w:rPr>
          <w:rFonts w:ascii="Arial" w:hAnsi="Arial"/>
          <w:sz w:val="20"/>
          <w:szCs w:val="20"/>
          <w:lang w:eastAsia="en-GB"/>
        </w:rPr>
        <w:t>a</w:t>
      </w:r>
      <w:r w:rsidR="004224B6" w:rsidRPr="00344EC3">
        <w:rPr>
          <w:rFonts w:ascii="Arial" w:hAnsi="Arial"/>
          <w:sz w:val="20"/>
          <w:szCs w:val="20"/>
          <w:lang w:eastAsia="en-GB"/>
        </w:rPr>
        <w:t>nnouncement</w:t>
      </w:r>
      <w:r w:rsidRPr="00344EC3">
        <w:rPr>
          <w:rFonts w:ascii="Arial" w:hAnsi="Arial"/>
          <w:sz w:val="20"/>
          <w:szCs w:val="20"/>
          <w:lang w:eastAsia="en-GB"/>
        </w:rPr>
        <w:t>.</w:t>
      </w:r>
    </w:p>
    <w:p w:rsidR="00BA049B" w:rsidRPr="00344EC3"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 xml:space="preserve">This </w:t>
      </w:r>
      <w:r w:rsidR="004224B6">
        <w:rPr>
          <w:rFonts w:ascii="Arial" w:hAnsi="Arial"/>
          <w:sz w:val="20"/>
          <w:szCs w:val="20"/>
          <w:lang w:eastAsia="en-GB"/>
        </w:rPr>
        <w:t>a</w:t>
      </w:r>
      <w:r w:rsidRPr="00344EC3">
        <w:rPr>
          <w:rFonts w:ascii="Arial" w:hAnsi="Arial"/>
          <w:sz w:val="20"/>
          <w:szCs w:val="20"/>
          <w:lang w:eastAsia="en-GB"/>
        </w:rPr>
        <w:t xml:space="preserve">nnouncement has been issued by and is the sole responsibility of the Company. No representation or warranty, express or implied, is or will be made as to, or in relation to, and no responsibility or liability is or will be accepted by </w:t>
      </w:r>
      <w:r>
        <w:rPr>
          <w:rFonts w:ascii="Arial" w:hAnsi="Arial"/>
          <w:sz w:val="20"/>
          <w:szCs w:val="20"/>
          <w:lang w:eastAsia="en-GB"/>
        </w:rPr>
        <w:t xml:space="preserve">Investec, </w:t>
      </w:r>
      <w:r w:rsidRPr="00344EC3">
        <w:rPr>
          <w:rFonts w:ascii="Arial" w:hAnsi="Arial"/>
          <w:sz w:val="20"/>
          <w:szCs w:val="20"/>
          <w:lang w:eastAsia="en-GB"/>
        </w:rPr>
        <w:t>any of its Affiliates or any</w:t>
      </w:r>
      <w:r>
        <w:rPr>
          <w:rFonts w:ascii="Arial" w:hAnsi="Arial"/>
          <w:sz w:val="20"/>
          <w:szCs w:val="20"/>
          <w:lang w:eastAsia="en-GB"/>
        </w:rPr>
        <w:t xml:space="preserve"> person acting on its or their behalf</w:t>
      </w:r>
      <w:r w:rsidRPr="00344EC3">
        <w:rPr>
          <w:rFonts w:ascii="Arial" w:hAnsi="Arial"/>
          <w:sz w:val="20"/>
          <w:szCs w:val="20"/>
          <w:lang w:eastAsia="en-GB"/>
        </w:rPr>
        <w:t xml:space="preserve"> as to, or in relation to, the accuracy or completeness of this </w:t>
      </w:r>
      <w:r w:rsidR="004224B6">
        <w:rPr>
          <w:rFonts w:ascii="Arial" w:hAnsi="Arial"/>
          <w:sz w:val="20"/>
          <w:szCs w:val="20"/>
          <w:lang w:eastAsia="en-GB"/>
        </w:rPr>
        <w:t>a</w:t>
      </w:r>
      <w:r w:rsidRPr="00344EC3">
        <w:rPr>
          <w:rFonts w:ascii="Arial" w:hAnsi="Arial"/>
          <w:sz w:val="20"/>
          <w:szCs w:val="20"/>
          <w:lang w:eastAsia="en-GB"/>
        </w:rPr>
        <w:t>nnouncement or any other written or oral information made available to or publicly available to any interested party or its advisers, and any liability therefore is expressly disclaimed.</w:t>
      </w:r>
      <w:r w:rsidR="00306EAF">
        <w:rPr>
          <w:rFonts w:ascii="Arial" w:hAnsi="Arial"/>
          <w:sz w:val="20"/>
          <w:szCs w:val="20"/>
          <w:lang w:eastAsia="en-GB"/>
        </w:rPr>
        <w:t xml:space="preserve"> Each of Investec and its Affiliates accordingly disclaims all and any liability, whether arising in tort, contract or otherwise in respect of the use of this announcement, or any statements or other information contained (or omitted) in this announcement or otherwise arising in connection therewith and no representation or warranty, express or implied, is made by Investec or any of its Affiliates as to the accuracy, completeness or sufficiency of the information contained in this announcement.</w:t>
      </w:r>
    </w:p>
    <w:p w:rsidR="00BA049B" w:rsidRPr="00344EC3"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 xml:space="preserve">This </w:t>
      </w:r>
      <w:r w:rsidR="004224B6">
        <w:rPr>
          <w:rFonts w:ascii="Arial" w:hAnsi="Arial"/>
          <w:sz w:val="20"/>
          <w:szCs w:val="20"/>
          <w:lang w:eastAsia="en-GB"/>
        </w:rPr>
        <w:t>a</w:t>
      </w:r>
      <w:r w:rsidRPr="00344EC3">
        <w:rPr>
          <w:rFonts w:ascii="Arial" w:hAnsi="Arial"/>
          <w:sz w:val="20"/>
          <w:szCs w:val="20"/>
          <w:lang w:eastAsia="en-GB"/>
        </w:rPr>
        <w:t>nnouncement does not constitute a recommendation concerning any investor</w:t>
      </w:r>
      <w:r>
        <w:rPr>
          <w:rFonts w:ascii="Arial" w:hAnsi="Arial"/>
          <w:sz w:val="20"/>
          <w:szCs w:val="20"/>
          <w:lang w:eastAsia="en-GB"/>
        </w:rPr>
        <w:t>'</w:t>
      </w:r>
      <w:r w:rsidRPr="00344EC3">
        <w:rPr>
          <w:rFonts w:ascii="Arial" w:hAnsi="Arial"/>
          <w:sz w:val="20"/>
          <w:szCs w:val="20"/>
          <w:lang w:eastAsia="en-GB"/>
        </w:rPr>
        <w:t xml:space="preserve">s </w:t>
      </w:r>
      <w:r>
        <w:rPr>
          <w:rFonts w:ascii="Arial" w:hAnsi="Arial"/>
          <w:sz w:val="20"/>
          <w:szCs w:val="20"/>
          <w:lang w:eastAsia="en-GB"/>
        </w:rPr>
        <w:t>investment decision</w:t>
      </w:r>
      <w:r w:rsidRPr="00344EC3">
        <w:rPr>
          <w:rFonts w:ascii="Arial" w:hAnsi="Arial"/>
          <w:sz w:val="20"/>
          <w:szCs w:val="20"/>
          <w:lang w:eastAsia="en-GB"/>
        </w:rPr>
        <w:t xml:space="preserve"> with respect to the Placing. The price of shares and any income expected from them may go down as well as up and investors may not get back the full amount invested upon disposal of the shares. Past performance is no guide to future performance. The contents of this </w:t>
      </w:r>
      <w:r w:rsidR="004224B6">
        <w:rPr>
          <w:rFonts w:ascii="Arial" w:hAnsi="Arial"/>
          <w:sz w:val="20"/>
          <w:szCs w:val="20"/>
          <w:lang w:eastAsia="en-GB"/>
        </w:rPr>
        <w:t>a</w:t>
      </w:r>
      <w:r w:rsidR="004224B6" w:rsidRPr="00344EC3">
        <w:rPr>
          <w:rFonts w:ascii="Arial" w:hAnsi="Arial"/>
          <w:sz w:val="20"/>
          <w:szCs w:val="20"/>
          <w:lang w:eastAsia="en-GB"/>
        </w:rPr>
        <w:t xml:space="preserve">nnouncement </w:t>
      </w:r>
      <w:r w:rsidRPr="00344EC3">
        <w:rPr>
          <w:rFonts w:ascii="Arial" w:hAnsi="Arial"/>
          <w:sz w:val="20"/>
          <w:szCs w:val="20"/>
          <w:lang w:eastAsia="en-GB"/>
        </w:rPr>
        <w:t>are not to be construed as legal, business, financial or tax advice. Each investor or prospective investor should consult his, her or its own legal adviser, business adviser, financial adviser or tax adviser for legal, financial, business or tax advice.</w:t>
      </w:r>
    </w:p>
    <w:p w:rsidR="00BA049B" w:rsidRPr="00344EC3"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 xml:space="preserve">Any indication in this </w:t>
      </w:r>
      <w:r w:rsidR="004224B6">
        <w:rPr>
          <w:rFonts w:ascii="Arial" w:hAnsi="Arial"/>
          <w:sz w:val="20"/>
          <w:szCs w:val="20"/>
          <w:lang w:eastAsia="en-GB"/>
        </w:rPr>
        <w:t>a</w:t>
      </w:r>
      <w:r w:rsidRPr="00344EC3">
        <w:rPr>
          <w:rFonts w:ascii="Arial" w:hAnsi="Arial"/>
          <w:sz w:val="20"/>
          <w:szCs w:val="20"/>
          <w:lang w:eastAsia="en-GB"/>
        </w:rPr>
        <w:t xml:space="preserve">nnouncement of the price at which </w:t>
      </w:r>
      <w:r w:rsidR="00C34092">
        <w:rPr>
          <w:rFonts w:ascii="Arial" w:hAnsi="Arial"/>
          <w:sz w:val="20"/>
          <w:szCs w:val="20"/>
          <w:lang w:eastAsia="en-GB"/>
        </w:rPr>
        <w:t>securities</w:t>
      </w:r>
      <w:r w:rsidRPr="00344EC3">
        <w:rPr>
          <w:rFonts w:ascii="Arial" w:hAnsi="Arial"/>
          <w:sz w:val="20"/>
          <w:szCs w:val="20"/>
          <w:lang w:eastAsia="en-GB"/>
        </w:rPr>
        <w:t xml:space="preserve"> have been bought or sold in the past cannot be relied upon as a guide to future performance. No statement in this </w:t>
      </w:r>
      <w:r w:rsidR="004224B6">
        <w:rPr>
          <w:rFonts w:ascii="Arial" w:hAnsi="Arial"/>
          <w:sz w:val="20"/>
          <w:szCs w:val="20"/>
          <w:lang w:eastAsia="en-GB"/>
        </w:rPr>
        <w:t>a</w:t>
      </w:r>
      <w:r w:rsidRPr="00344EC3">
        <w:rPr>
          <w:rFonts w:ascii="Arial" w:hAnsi="Arial"/>
          <w:sz w:val="20"/>
          <w:szCs w:val="20"/>
          <w:lang w:eastAsia="en-GB"/>
        </w:rPr>
        <w:t xml:space="preserve">nnouncement is intended as a profit forecast or estimate for any period and no statement in this </w:t>
      </w:r>
      <w:r w:rsidR="00306EAF">
        <w:rPr>
          <w:rFonts w:ascii="Arial" w:hAnsi="Arial"/>
          <w:sz w:val="20"/>
          <w:szCs w:val="20"/>
          <w:lang w:eastAsia="en-GB"/>
        </w:rPr>
        <w:t>a</w:t>
      </w:r>
      <w:r w:rsidRPr="00344EC3">
        <w:rPr>
          <w:rFonts w:ascii="Arial" w:hAnsi="Arial"/>
          <w:sz w:val="20"/>
          <w:szCs w:val="20"/>
          <w:lang w:eastAsia="en-GB"/>
        </w:rPr>
        <w:t>nnouncement should be interpreted to mean that earnings, earnings per share or income, cash flow from operations or free cash flow for the Company, as appropriate, for the current or future years would necessarily match or exceed the historical published earnings, earnings per share or income, cash flow from operations or free cash flow for the Company.</w:t>
      </w:r>
    </w:p>
    <w:p w:rsidR="00BA049B"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 xml:space="preserve">In connection with the Placing, </w:t>
      </w:r>
      <w:r>
        <w:rPr>
          <w:rFonts w:ascii="Arial" w:hAnsi="Arial"/>
          <w:sz w:val="20"/>
          <w:szCs w:val="20"/>
          <w:lang w:eastAsia="en-GB"/>
        </w:rPr>
        <w:t xml:space="preserve">Investec, its Affiliates and any person acting on its or their behalf </w:t>
      </w:r>
      <w:r w:rsidRPr="00344EC3">
        <w:rPr>
          <w:rFonts w:ascii="Arial" w:hAnsi="Arial"/>
          <w:sz w:val="20"/>
          <w:szCs w:val="20"/>
          <w:lang w:eastAsia="en-GB"/>
        </w:rPr>
        <w:t xml:space="preserve">may take up a portion of the shares of the Company in the Placing </w:t>
      </w:r>
      <w:r>
        <w:rPr>
          <w:rFonts w:ascii="Arial" w:hAnsi="Arial"/>
          <w:sz w:val="20"/>
          <w:szCs w:val="20"/>
          <w:lang w:eastAsia="en-GB"/>
        </w:rPr>
        <w:t>in</w:t>
      </w:r>
      <w:r w:rsidRPr="00344EC3">
        <w:rPr>
          <w:rFonts w:ascii="Arial" w:hAnsi="Arial"/>
          <w:sz w:val="20"/>
          <w:szCs w:val="20"/>
          <w:lang w:eastAsia="en-GB"/>
        </w:rPr>
        <w:t xml:space="preserve"> a principal position and in that capacity may </w:t>
      </w:r>
      <w:r w:rsidRPr="00344EC3">
        <w:rPr>
          <w:rFonts w:ascii="Arial" w:hAnsi="Arial"/>
          <w:sz w:val="20"/>
          <w:szCs w:val="20"/>
        </w:rPr>
        <w:t xml:space="preserve">retain, purchase or sell for its own account </w:t>
      </w:r>
      <w:r w:rsidRPr="00344EC3">
        <w:rPr>
          <w:rFonts w:ascii="Arial" w:hAnsi="Arial"/>
          <w:sz w:val="20"/>
          <w:szCs w:val="20"/>
          <w:lang w:eastAsia="en-GB"/>
        </w:rPr>
        <w:t xml:space="preserve">such shares and other securities of the Company or related investments </w:t>
      </w:r>
      <w:r w:rsidRPr="00344EC3">
        <w:rPr>
          <w:rFonts w:ascii="Arial" w:hAnsi="Arial"/>
          <w:sz w:val="20"/>
          <w:szCs w:val="20"/>
        </w:rPr>
        <w:t xml:space="preserve">and may offer or sell such shares, </w:t>
      </w:r>
      <w:r w:rsidRPr="00344EC3">
        <w:rPr>
          <w:rFonts w:ascii="Arial" w:hAnsi="Arial"/>
          <w:sz w:val="20"/>
          <w:szCs w:val="20"/>
          <w:lang w:eastAsia="en-GB"/>
        </w:rPr>
        <w:t xml:space="preserve">securities </w:t>
      </w:r>
      <w:r w:rsidRPr="00344EC3">
        <w:rPr>
          <w:rFonts w:ascii="Arial" w:hAnsi="Arial"/>
          <w:sz w:val="20"/>
          <w:szCs w:val="20"/>
        </w:rPr>
        <w:t>or other investments</w:t>
      </w:r>
      <w:r w:rsidRPr="00344EC3">
        <w:rPr>
          <w:rFonts w:ascii="Arial" w:hAnsi="Arial"/>
          <w:sz w:val="20"/>
          <w:szCs w:val="20"/>
          <w:lang w:eastAsia="en-GB"/>
        </w:rPr>
        <w:t xml:space="preserve"> otherwise than in connection with the Placing. Accordingly, references in this </w:t>
      </w:r>
      <w:r w:rsidR="00306EAF">
        <w:rPr>
          <w:rFonts w:ascii="Arial" w:hAnsi="Arial"/>
          <w:sz w:val="20"/>
          <w:szCs w:val="20"/>
          <w:lang w:eastAsia="en-GB"/>
        </w:rPr>
        <w:t>a</w:t>
      </w:r>
      <w:r w:rsidRPr="00344EC3">
        <w:rPr>
          <w:rFonts w:ascii="Arial" w:hAnsi="Arial"/>
          <w:sz w:val="20"/>
          <w:szCs w:val="20"/>
          <w:lang w:eastAsia="en-GB"/>
        </w:rPr>
        <w:t>nnouncement to Placing Shares being issued, offered or placed should be read as including any issue, offering or placement of such s</w:t>
      </w:r>
      <w:r>
        <w:rPr>
          <w:rFonts w:ascii="Arial" w:hAnsi="Arial"/>
          <w:sz w:val="20"/>
          <w:szCs w:val="20"/>
          <w:lang w:eastAsia="en-GB"/>
        </w:rPr>
        <w:t xml:space="preserve">hares in the Company to Investec, </w:t>
      </w:r>
      <w:r w:rsidRPr="00344EC3">
        <w:rPr>
          <w:rFonts w:ascii="Arial" w:hAnsi="Arial"/>
          <w:sz w:val="20"/>
          <w:szCs w:val="20"/>
          <w:lang w:eastAsia="en-GB"/>
        </w:rPr>
        <w:t>any of its Affiliates or any</w:t>
      </w:r>
      <w:r>
        <w:rPr>
          <w:rFonts w:ascii="Arial" w:hAnsi="Arial"/>
          <w:sz w:val="20"/>
          <w:szCs w:val="20"/>
          <w:lang w:eastAsia="en-GB"/>
        </w:rPr>
        <w:t xml:space="preserve"> person acting on its or their behalf</w:t>
      </w:r>
      <w:r w:rsidRPr="00344EC3">
        <w:rPr>
          <w:rFonts w:ascii="Arial" w:hAnsi="Arial"/>
          <w:sz w:val="20"/>
          <w:szCs w:val="20"/>
          <w:lang w:eastAsia="en-GB"/>
        </w:rPr>
        <w:t xml:space="preserve"> as</w:t>
      </w:r>
      <w:r>
        <w:rPr>
          <w:rFonts w:ascii="Arial" w:hAnsi="Arial"/>
          <w:sz w:val="20"/>
          <w:szCs w:val="20"/>
          <w:lang w:eastAsia="en-GB"/>
        </w:rPr>
        <w:t>,</w:t>
      </w:r>
      <w:r w:rsidRPr="00344EC3">
        <w:rPr>
          <w:rFonts w:ascii="Arial" w:hAnsi="Arial"/>
          <w:sz w:val="20"/>
          <w:szCs w:val="20"/>
          <w:lang w:eastAsia="en-GB"/>
        </w:rPr>
        <w:t xml:space="preserve"> acting in such capacity. In addition, </w:t>
      </w:r>
      <w:r>
        <w:rPr>
          <w:rFonts w:ascii="Arial" w:hAnsi="Arial"/>
          <w:sz w:val="20"/>
          <w:szCs w:val="20"/>
          <w:lang w:eastAsia="en-GB"/>
        </w:rPr>
        <w:t xml:space="preserve">Investec, </w:t>
      </w:r>
      <w:r w:rsidRPr="00344EC3">
        <w:rPr>
          <w:rFonts w:ascii="Arial" w:hAnsi="Arial"/>
          <w:sz w:val="20"/>
          <w:szCs w:val="20"/>
          <w:lang w:eastAsia="en-GB"/>
        </w:rPr>
        <w:t>any of its Affiliates or any</w:t>
      </w:r>
      <w:r>
        <w:rPr>
          <w:rFonts w:ascii="Arial" w:hAnsi="Arial"/>
          <w:sz w:val="20"/>
          <w:szCs w:val="20"/>
          <w:lang w:eastAsia="en-GB"/>
        </w:rPr>
        <w:t xml:space="preserve"> person acting on its or their behalf</w:t>
      </w:r>
      <w:r w:rsidRPr="00344EC3">
        <w:rPr>
          <w:rFonts w:ascii="Arial" w:hAnsi="Arial"/>
          <w:sz w:val="20"/>
          <w:szCs w:val="20"/>
          <w:lang w:eastAsia="en-GB"/>
        </w:rPr>
        <w:t xml:space="preserve"> may enter into financing arrangements (including swaps, warrants or contracts for difference) with investors in connection with which</w:t>
      </w:r>
      <w:r w:rsidRPr="006F531C">
        <w:rPr>
          <w:rFonts w:ascii="Arial" w:hAnsi="Arial"/>
          <w:sz w:val="20"/>
          <w:szCs w:val="20"/>
          <w:lang w:eastAsia="en-GB"/>
        </w:rPr>
        <w:t xml:space="preserve"> </w:t>
      </w:r>
      <w:r>
        <w:rPr>
          <w:rFonts w:ascii="Arial" w:hAnsi="Arial"/>
          <w:sz w:val="20"/>
          <w:szCs w:val="20"/>
          <w:lang w:eastAsia="en-GB"/>
        </w:rPr>
        <w:t xml:space="preserve">Investec, </w:t>
      </w:r>
      <w:r w:rsidRPr="00344EC3">
        <w:rPr>
          <w:rFonts w:ascii="Arial" w:hAnsi="Arial"/>
          <w:sz w:val="20"/>
          <w:szCs w:val="20"/>
          <w:lang w:eastAsia="en-GB"/>
        </w:rPr>
        <w:t>any of its Affiliates or any</w:t>
      </w:r>
      <w:r>
        <w:rPr>
          <w:rFonts w:ascii="Arial" w:hAnsi="Arial"/>
          <w:sz w:val="20"/>
          <w:szCs w:val="20"/>
          <w:lang w:eastAsia="en-GB"/>
        </w:rPr>
        <w:t xml:space="preserve"> person acting on its or their behalf</w:t>
      </w:r>
      <w:r w:rsidRPr="00344EC3">
        <w:rPr>
          <w:rFonts w:ascii="Arial" w:hAnsi="Arial"/>
          <w:sz w:val="20"/>
          <w:szCs w:val="20"/>
          <w:lang w:eastAsia="en-GB"/>
        </w:rPr>
        <w:t xml:space="preserve"> may from time to time acquire, hold or dispose of such securities of the Company, including the Placing Shares. </w:t>
      </w:r>
      <w:r>
        <w:rPr>
          <w:rFonts w:ascii="Arial" w:hAnsi="Arial"/>
          <w:sz w:val="20"/>
          <w:szCs w:val="20"/>
          <w:lang w:eastAsia="en-GB"/>
        </w:rPr>
        <w:t xml:space="preserve">Neither Investec, </w:t>
      </w:r>
      <w:r w:rsidRPr="00344EC3">
        <w:rPr>
          <w:rFonts w:ascii="Arial" w:hAnsi="Arial"/>
          <w:sz w:val="20"/>
          <w:szCs w:val="20"/>
          <w:lang w:eastAsia="en-GB"/>
        </w:rPr>
        <w:t xml:space="preserve">any of its Affiliates </w:t>
      </w:r>
      <w:r>
        <w:rPr>
          <w:rFonts w:ascii="Arial" w:hAnsi="Arial"/>
          <w:sz w:val="20"/>
          <w:szCs w:val="20"/>
          <w:lang w:eastAsia="en-GB"/>
        </w:rPr>
        <w:t>n</w:t>
      </w:r>
      <w:r w:rsidRPr="00344EC3">
        <w:rPr>
          <w:rFonts w:ascii="Arial" w:hAnsi="Arial"/>
          <w:sz w:val="20"/>
          <w:szCs w:val="20"/>
          <w:lang w:eastAsia="en-GB"/>
        </w:rPr>
        <w:t>or any</w:t>
      </w:r>
      <w:r>
        <w:rPr>
          <w:rFonts w:ascii="Arial" w:hAnsi="Arial"/>
          <w:sz w:val="20"/>
          <w:szCs w:val="20"/>
          <w:lang w:eastAsia="en-GB"/>
        </w:rPr>
        <w:t xml:space="preserve"> person acting on its or their behalf</w:t>
      </w:r>
      <w:r w:rsidRPr="00344EC3">
        <w:rPr>
          <w:rFonts w:ascii="Arial" w:hAnsi="Arial"/>
          <w:sz w:val="20"/>
          <w:szCs w:val="20"/>
          <w:lang w:eastAsia="en-GB"/>
        </w:rPr>
        <w:t xml:space="preserve"> intend</w:t>
      </w:r>
      <w:r>
        <w:rPr>
          <w:rFonts w:ascii="Arial" w:hAnsi="Arial"/>
          <w:sz w:val="20"/>
          <w:szCs w:val="20"/>
          <w:lang w:eastAsia="en-GB"/>
        </w:rPr>
        <w:t>s</w:t>
      </w:r>
      <w:r w:rsidRPr="00344EC3">
        <w:rPr>
          <w:rFonts w:ascii="Arial" w:hAnsi="Arial"/>
          <w:sz w:val="20"/>
          <w:szCs w:val="20"/>
          <w:lang w:eastAsia="en-GB"/>
        </w:rPr>
        <w:t xml:space="preserve"> to disclose the extent of any such investment or transactions otherwise than in accordance with any legal or regulatory obligation to do so.</w:t>
      </w:r>
    </w:p>
    <w:p w:rsidR="00BA049B" w:rsidRPr="00344EC3" w:rsidRDefault="00BA049B" w:rsidP="00FD13A3">
      <w:pPr>
        <w:shd w:val="clear" w:color="auto" w:fill="FFFFFF"/>
        <w:spacing w:after="225" w:line="276" w:lineRule="auto"/>
        <w:jc w:val="both"/>
        <w:rPr>
          <w:rFonts w:ascii="Arial" w:hAnsi="Arial"/>
          <w:sz w:val="20"/>
          <w:szCs w:val="20"/>
        </w:rPr>
      </w:pPr>
      <w:r>
        <w:rPr>
          <w:rFonts w:ascii="Arial" w:hAnsi="Arial"/>
          <w:sz w:val="20"/>
          <w:szCs w:val="20"/>
          <w:lang w:eastAsia="en-GB"/>
        </w:rPr>
        <w:t>Investec and its Affiliates may have engaged in transactions with, and provided various commercial banking, investment banking, financial advisory transactions and services in the ordinary course of their business to the Company and/or its Affiliates for which it would have received customary fees and commissions.  Investec and its Affiliates may provide such services to the Company and/or its Affiliates in the future.</w:t>
      </w:r>
    </w:p>
    <w:p w:rsidR="00BA049B" w:rsidRPr="00344EC3"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 xml:space="preserve">The Placing Shares to be issued or sold pursuant to the Placing will not be admitted to trading on any stock exchange other than the </w:t>
      </w:r>
      <w:r>
        <w:rPr>
          <w:rFonts w:ascii="Arial" w:hAnsi="Arial"/>
          <w:sz w:val="20"/>
          <w:szCs w:val="20"/>
          <w:lang w:eastAsia="en-GB"/>
        </w:rPr>
        <w:t xml:space="preserve">main market for listed securities of the </w:t>
      </w:r>
      <w:r w:rsidRPr="00344EC3">
        <w:rPr>
          <w:rFonts w:ascii="Arial" w:hAnsi="Arial"/>
          <w:sz w:val="20"/>
          <w:szCs w:val="20"/>
          <w:lang w:eastAsia="en-GB"/>
        </w:rPr>
        <w:t>London Stock Exchange.</w:t>
      </w:r>
    </w:p>
    <w:p w:rsidR="00BA049B" w:rsidRPr="00344EC3"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Neither the content of the Company</w:t>
      </w:r>
      <w:r>
        <w:rPr>
          <w:rFonts w:ascii="Arial" w:hAnsi="Arial"/>
          <w:sz w:val="20"/>
          <w:szCs w:val="20"/>
          <w:lang w:eastAsia="en-GB"/>
        </w:rPr>
        <w:t>'</w:t>
      </w:r>
      <w:r w:rsidRPr="00344EC3">
        <w:rPr>
          <w:rFonts w:ascii="Arial" w:hAnsi="Arial"/>
          <w:sz w:val="20"/>
          <w:szCs w:val="20"/>
          <w:lang w:eastAsia="en-GB"/>
        </w:rPr>
        <w:t>s website (or any other website) nor the content of any website accessible from hyperlinks on the Company</w:t>
      </w:r>
      <w:r>
        <w:rPr>
          <w:rFonts w:ascii="Arial" w:hAnsi="Arial"/>
          <w:sz w:val="20"/>
          <w:szCs w:val="20"/>
          <w:lang w:eastAsia="en-GB"/>
        </w:rPr>
        <w:t>'</w:t>
      </w:r>
      <w:r w:rsidRPr="00344EC3">
        <w:rPr>
          <w:rFonts w:ascii="Arial" w:hAnsi="Arial"/>
          <w:sz w:val="20"/>
          <w:szCs w:val="20"/>
          <w:lang w:eastAsia="en-GB"/>
        </w:rPr>
        <w:t xml:space="preserve">s website (or any other website) is incorporated into or forms part of this </w:t>
      </w:r>
      <w:r w:rsidR="00306EAF">
        <w:rPr>
          <w:rFonts w:ascii="Arial" w:hAnsi="Arial"/>
          <w:sz w:val="20"/>
          <w:szCs w:val="20"/>
          <w:lang w:eastAsia="en-GB"/>
        </w:rPr>
        <w:t>a</w:t>
      </w:r>
      <w:r w:rsidRPr="00344EC3">
        <w:rPr>
          <w:rFonts w:ascii="Arial" w:hAnsi="Arial"/>
          <w:sz w:val="20"/>
          <w:szCs w:val="20"/>
          <w:lang w:eastAsia="en-GB"/>
        </w:rPr>
        <w:t>nnouncement.</w:t>
      </w:r>
    </w:p>
    <w:p w:rsidR="00BA049B"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 xml:space="preserve">This </w:t>
      </w:r>
      <w:r w:rsidR="00306EAF">
        <w:rPr>
          <w:rFonts w:ascii="Arial" w:hAnsi="Arial"/>
          <w:sz w:val="20"/>
          <w:szCs w:val="20"/>
          <w:lang w:eastAsia="en-GB"/>
        </w:rPr>
        <w:t>a</w:t>
      </w:r>
      <w:r w:rsidRPr="00344EC3">
        <w:rPr>
          <w:rFonts w:ascii="Arial" w:hAnsi="Arial"/>
          <w:sz w:val="20"/>
          <w:szCs w:val="20"/>
          <w:lang w:eastAsia="en-GB"/>
        </w:rPr>
        <w:t>nnouncement has been prepared for the purposes of complying with applicable law and regulation in the United Kingdom and the information disclosed may not be the same as that which would have been disclosed if this Announcement had been prepared in accordance with the laws and regulations of any jurisdiction outside the United Kingdom.</w:t>
      </w:r>
    </w:p>
    <w:p w:rsidR="00306EAF" w:rsidRPr="00306EAF" w:rsidRDefault="00306EAF" w:rsidP="00FD13A3">
      <w:pPr>
        <w:shd w:val="clear" w:color="auto" w:fill="FFFFFF"/>
        <w:spacing w:after="225" w:line="276" w:lineRule="auto"/>
        <w:jc w:val="both"/>
        <w:rPr>
          <w:rFonts w:ascii="Arial" w:hAnsi="Arial"/>
          <w:b/>
          <w:sz w:val="20"/>
          <w:szCs w:val="20"/>
          <w:lang w:eastAsia="en-GB"/>
        </w:rPr>
      </w:pPr>
      <w:r w:rsidRPr="00306EAF">
        <w:rPr>
          <w:rFonts w:ascii="Arial" w:hAnsi="Arial"/>
          <w:b/>
          <w:sz w:val="20"/>
          <w:szCs w:val="20"/>
          <w:lang w:eastAsia="en-GB"/>
        </w:rPr>
        <w:t>Information to Distributors</w:t>
      </w:r>
    </w:p>
    <w:p w:rsidR="00BA049B" w:rsidRPr="00344EC3"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Solely for the purposes of the product governance requirements contained within: (a) EU Directive 2014/65/EU on markets in financial instruments, as amended (</w:t>
      </w:r>
      <w:r>
        <w:rPr>
          <w:rFonts w:ascii="Arial" w:hAnsi="Arial"/>
          <w:sz w:val="20"/>
          <w:szCs w:val="20"/>
          <w:lang w:eastAsia="en-GB"/>
        </w:rPr>
        <w:t>"</w:t>
      </w:r>
      <w:r w:rsidRPr="00344EC3">
        <w:rPr>
          <w:rFonts w:ascii="Arial" w:hAnsi="Arial"/>
          <w:b/>
          <w:bCs/>
          <w:sz w:val="20"/>
          <w:szCs w:val="20"/>
          <w:lang w:eastAsia="en-GB"/>
        </w:rPr>
        <w:t>MiFID II</w:t>
      </w:r>
      <w:r>
        <w:rPr>
          <w:rFonts w:ascii="Arial" w:hAnsi="Arial"/>
          <w:sz w:val="20"/>
          <w:szCs w:val="20"/>
          <w:lang w:eastAsia="en-GB"/>
        </w:rPr>
        <w:t>"</w:t>
      </w:r>
      <w:r w:rsidRPr="00344EC3">
        <w:rPr>
          <w:rFonts w:ascii="Arial" w:hAnsi="Arial"/>
          <w:sz w:val="20"/>
          <w:szCs w:val="20"/>
          <w:lang w:eastAsia="en-GB"/>
        </w:rPr>
        <w:t>); (</w:t>
      </w:r>
      <w:r>
        <w:rPr>
          <w:rFonts w:ascii="Arial" w:hAnsi="Arial"/>
          <w:sz w:val="20"/>
          <w:szCs w:val="20"/>
          <w:lang w:eastAsia="en-GB"/>
        </w:rPr>
        <w:t>b</w:t>
      </w:r>
      <w:r w:rsidRPr="00344EC3">
        <w:rPr>
          <w:rFonts w:ascii="Arial" w:hAnsi="Arial"/>
          <w:sz w:val="20"/>
          <w:szCs w:val="20"/>
          <w:lang w:eastAsia="en-GB"/>
        </w:rPr>
        <w:t xml:space="preserve">) Articles 9 and 10 of Commission Delegated Directive (EU) 2017/593 supplementing MiFID II; and (c) local implementing measures (together, the </w:t>
      </w:r>
      <w:r>
        <w:rPr>
          <w:rFonts w:ascii="Arial" w:hAnsi="Arial"/>
          <w:sz w:val="20"/>
          <w:szCs w:val="20"/>
          <w:lang w:eastAsia="en-GB"/>
        </w:rPr>
        <w:t>"</w:t>
      </w:r>
      <w:r w:rsidRPr="00344EC3">
        <w:rPr>
          <w:rFonts w:ascii="Arial" w:hAnsi="Arial"/>
          <w:b/>
          <w:bCs/>
          <w:sz w:val="20"/>
          <w:szCs w:val="20"/>
          <w:lang w:eastAsia="en-GB"/>
        </w:rPr>
        <w:t>MiFID II Product Governance Requirements</w:t>
      </w:r>
      <w:r>
        <w:rPr>
          <w:rFonts w:ascii="Arial" w:hAnsi="Arial"/>
          <w:sz w:val="20"/>
          <w:szCs w:val="20"/>
          <w:lang w:eastAsia="en-GB"/>
        </w:rPr>
        <w:t>"</w:t>
      </w:r>
      <w:r w:rsidRPr="00344EC3">
        <w:rPr>
          <w:rFonts w:ascii="Arial" w:hAnsi="Arial"/>
          <w:sz w:val="20"/>
          <w:szCs w:val="20"/>
          <w:lang w:eastAsia="en-GB"/>
        </w:rPr>
        <w:t xml:space="preserve">), and disclaiming all and any liability, whether arising in tort, contract or otherwise, which any </w:t>
      </w:r>
      <w:r>
        <w:rPr>
          <w:rFonts w:ascii="Arial" w:hAnsi="Arial"/>
          <w:sz w:val="20"/>
          <w:szCs w:val="20"/>
          <w:lang w:eastAsia="en-GB"/>
        </w:rPr>
        <w:t>'</w:t>
      </w:r>
      <w:r w:rsidRPr="00344EC3">
        <w:rPr>
          <w:rFonts w:ascii="Arial" w:hAnsi="Arial"/>
          <w:sz w:val="20"/>
          <w:szCs w:val="20"/>
          <w:lang w:eastAsia="en-GB"/>
        </w:rPr>
        <w:t>manufacturer</w:t>
      </w:r>
      <w:r>
        <w:rPr>
          <w:rFonts w:ascii="Arial" w:hAnsi="Arial"/>
          <w:sz w:val="20"/>
          <w:szCs w:val="20"/>
          <w:lang w:eastAsia="en-GB"/>
        </w:rPr>
        <w:t>'</w:t>
      </w:r>
      <w:r w:rsidRPr="00344EC3">
        <w:rPr>
          <w:rFonts w:ascii="Arial" w:hAnsi="Arial"/>
          <w:sz w:val="20"/>
          <w:szCs w:val="20"/>
          <w:lang w:eastAsia="en-GB"/>
        </w:rPr>
        <w:t xml:space="preserve"> (for the purposes of the MiFID II Product Governance Requirements) may otherwise have with respect thereto, the Placing Shares have been subject to a product approval process, which has determined that such Placing Shares are: (i) compatible with an end target market of retail investors and investors who meet the criteria of professional clients and eligible counterparties, each as defined in MiFID II; and (ii) eligible for distribution through all distribution channels as are permitted by MiFID II (the </w:t>
      </w:r>
      <w:r>
        <w:rPr>
          <w:rFonts w:ascii="Arial" w:hAnsi="Arial"/>
          <w:sz w:val="20"/>
          <w:szCs w:val="20"/>
          <w:lang w:eastAsia="en-GB"/>
        </w:rPr>
        <w:t>"</w:t>
      </w:r>
      <w:r w:rsidRPr="00344EC3">
        <w:rPr>
          <w:rFonts w:ascii="Arial" w:hAnsi="Arial"/>
          <w:b/>
          <w:bCs/>
          <w:sz w:val="20"/>
          <w:szCs w:val="20"/>
          <w:lang w:eastAsia="en-GB"/>
        </w:rPr>
        <w:t>Target Market Assessment</w:t>
      </w:r>
      <w:r>
        <w:rPr>
          <w:rFonts w:ascii="Arial" w:hAnsi="Arial"/>
          <w:sz w:val="20"/>
          <w:szCs w:val="20"/>
          <w:lang w:eastAsia="en-GB"/>
        </w:rPr>
        <w:t>"</w:t>
      </w:r>
      <w:r w:rsidRPr="00344EC3">
        <w:rPr>
          <w:rFonts w:ascii="Arial" w:hAnsi="Arial"/>
          <w:sz w:val="20"/>
          <w:szCs w:val="20"/>
          <w:lang w:eastAsia="en-GB"/>
        </w:rPr>
        <w:t xml:space="preserve">). Notwithstanding the Target Market Assessment, distributors should note that: the price of the Placing Shares may decline and investors could lose all or part of their investment; the Placing Shares offer no guaranteed income and no capital protection; and an investment in the Placing Shares is compatible only with investors who do not need a guaranteed income or capital protection, who (either alone or in conjunction with an appropriate financial or other adviser) are capable of evaluating the merits and risks of such an investment and who have sufficient resources to be able to bear any losses that may result therefrom. The Target Market Assessment is without prejudice to the requirements of any contractual, legal or regulatory selling restrictions in relation to the Placing. Furthermore, it is noted that, notwithstanding the Target Market Assessment, </w:t>
      </w:r>
      <w:r>
        <w:rPr>
          <w:rFonts w:ascii="Arial" w:hAnsi="Arial"/>
          <w:sz w:val="20"/>
          <w:szCs w:val="20"/>
          <w:lang w:eastAsia="en-GB"/>
        </w:rPr>
        <w:t>Investec</w:t>
      </w:r>
      <w:r w:rsidRPr="00344EC3">
        <w:rPr>
          <w:rFonts w:ascii="Arial" w:hAnsi="Arial"/>
          <w:sz w:val="20"/>
          <w:szCs w:val="20"/>
          <w:lang w:eastAsia="en-GB"/>
        </w:rPr>
        <w:t xml:space="preserve"> will only procure investors who meet the criteria of professional clients and eligible counterparties.</w:t>
      </w:r>
    </w:p>
    <w:p w:rsidR="00BF550D" w:rsidRPr="00BA049B" w:rsidRDefault="00BA049B" w:rsidP="00FD13A3">
      <w:pPr>
        <w:shd w:val="clear" w:color="auto" w:fill="FFFFFF"/>
        <w:spacing w:after="225" w:line="276" w:lineRule="auto"/>
        <w:jc w:val="both"/>
        <w:rPr>
          <w:rFonts w:ascii="Arial" w:hAnsi="Arial"/>
          <w:sz w:val="20"/>
          <w:szCs w:val="20"/>
          <w:lang w:eastAsia="en-GB"/>
        </w:rPr>
      </w:pPr>
      <w:r w:rsidRPr="00344EC3">
        <w:rPr>
          <w:rFonts w:ascii="Arial" w:hAnsi="Arial"/>
          <w:sz w:val="20"/>
          <w:szCs w:val="20"/>
          <w:lang w:eastAsia="en-GB"/>
        </w:rPr>
        <w:t>For the avoidance of doubt, the Target Market Assessment does not constitute: (a) an assessment of suitability or appropriateness for the purposes of MiFID II; or (b) a recommendation to any investor or group of investors to invest in, or purchase or take any other action whatsoever with respect to the Placing Shares. Each distributor is responsible for undertaking its own target market assessment in respect of the Placing Shares and determining appropriate distribution channels.</w:t>
      </w:r>
    </w:p>
    <w:sectPr w:rsidR="00BF550D" w:rsidRPr="00BA049B" w:rsidSect="00DD41CB">
      <w:foot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80C" w:rsidRDefault="00EB180C" w:rsidP="00327BC8">
      <w:pPr>
        <w:spacing w:after="0" w:line="240" w:lineRule="auto"/>
      </w:pPr>
      <w:r>
        <w:separator/>
      </w:r>
    </w:p>
  </w:endnote>
  <w:endnote w:type="continuationSeparator" w:id="0">
    <w:p w:rsidR="00EB180C" w:rsidRDefault="00EB180C" w:rsidP="0032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63" w:rsidRPr="00A30863" w:rsidRDefault="00A30863">
    <w:pPr>
      <w:pStyle w:val="Footer"/>
      <w:jc w:val="right"/>
      <w:rPr>
        <w:rFonts w:ascii="Arial" w:hAnsi="Arial" w:cs="Arial"/>
        <w:sz w:val="18"/>
      </w:rPr>
    </w:pPr>
    <w:r w:rsidRPr="00A30863">
      <w:rPr>
        <w:rFonts w:ascii="Arial" w:hAnsi="Arial" w:cs="Arial"/>
        <w:sz w:val="18"/>
      </w:rPr>
      <w:fldChar w:fldCharType="begin"/>
    </w:r>
    <w:r w:rsidRPr="00A30863">
      <w:rPr>
        <w:rFonts w:ascii="Arial" w:hAnsi="Arial" w:cs="Arial"/>
        <w:sz w:val="18"/>
      </w:rPr>
      <w:instrText xml:space="preserve"> PAGE   \* MERGEFORMAT </w:instrText>
    </w:r>
    <w:r w:rsidRPr="00A30863">
      <w:rPr>
        <w:rFonts w:ascii="Arial" w:hAnsi="Arial" w:cs="Arial"/>
        <w:sz w:val="18"/>
      </w:rPr>
      <w:fldChar w:fldCharType="separate"/>
    </w:r>
    <w:r w:rsidR="006A2922">
      <w:rPr>
        <w:rFonts w:ascii="Arial" w:hAnsi="Arial" w:cs="Arial"/>
        <w:noProof/>
        <w:sz w:val="18"/>
      </w:rPr>
      <w:t>1</w:t>
    </w:r>
    <w:r w:rsidRPr="00A30863">
      <w:rPr>
        <w:rFonts w:ascii="Arial" w:hAnsi="Arial" w:cs="Arial"/>
        <w:noProof/>
        <w:sz w:val="18"/>
      </w:rPr>
      <w:fldChar w:fldCharType="end"/>
    </w:r>
  </w:p>
  <w:p w:rsidR="00BA7AE0" w:rsidRDefault="00BA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80C" w:rsidRDefault="00EB180C" w:rsidP="00327BC8">
      <w:pPr>
        <w:spacing w:after="0" w:line="240" w:lineRule="auto"/>
      </w:pPr>
      <w:r>
        <w:separator/>
      </w:r>
    </w:p>
  </w:footnote>
  <w:footnote w:type="continuationSeparator" w:id="0">
    <w:p w:rsidR="00EB180C" w:rsidRDefault="00EB180C" w:rsidP="00327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39F"/>
    <w:multiLevelType w:val="hybridMultilevel"/>
    <w:tmpl w:val="454CE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576635"/>
    <w:multiLevelType w:val="multilevel"/>
    <w:tmpl w:val="4EA8E5B2"/>
    <w:lvl w:ilvl="0">
      <w:start w:val="1"/>
      <w:numFmt w:val="decimal"/>
      <w:lvlText w:val="%1."/>
      <w:lvlJc w:val="left"/>
      <w:pPr>
        <w:tabs>
          <w:tab w:val="num" w:pos="567"/>
        </w:tabs>
        <w:ind w:left="567" w:hanging="566"/>
      </w:pPr>
      <w:rPr>
        <w:rFonts w:ascii="Arial Bold" w:hAnsi="Arial Bold" w:cs="Times New Roman" w:hint="default"/>
        <w:b/>
        <w:i w:val="0"/>
        <w:sz w:val="20"/>
      </w:rPr>
    </w:lvl>
    <w:lvl w:ilvl="1">
      <w:start w:val="1"/>
      <w:numFmt w:val="decimal"/>
      <w:lvlText w:val="%1.%2"/>
      <w:lvlJc w:val="left"/>
      <w:pPr>
        <w:tabs>
          <w:tab w:val="num" w:pos="851"/>
        </w:tabs>
        <w:ind w:left="851" w:hanging="850"/>
      </w:pPr>
      <w:rPr>
        <w:rFonts w:ascii="Arial" w:hAnsi="Arial" w:cs="Times New Roman" w:hint="default"/>
        <w:b w:val="0"/>
        <w:i w:val="0"/>
        <w:sz w:val="20"/>
      </w:rPr>
    </w:lvl>
    <w:lvl w:ilvl="2">
      <w:start w:val="1"/>
      <w:numFmt w:val="lowerLetter"/>
      <w:lvlText w:val="(%3)"/>
      <w:lvlJc w:val="left"/>
      <w:pPr>
        <w:tabs>
          <w:tab w:val="num" w:pos="1418"/>
        </w:tabs>
        <w:ind w:left="1418" w:hanging="567"/>
      </w:pPr>
      <w:rPr>
        <w:rFonts w:ascii="Calibri" w:hAnsi="Calibri" w:cs="Times New Roman" w:hint="default"/>
        <w:b w:val="0"/>
        <w:i w:val="0"/>
        <w:sz w:val="22"/>
        <w:szCs w:val="22"/>
      </w:rPr>
    </w:lvl>
    <w:lvl w:ilvl="3">
      <w:start w:val="1"/>
      <w:numFmt w:val="lowerRoman"/>
      <w:pStyle w:val="3"/>
      <w:lvlText w:val="(%4)"/>
      <w:lvlJc w:val="left"/>
      <w:pPr>
        <w:tabs>
          <w:tab w:val="num" w:pos="1985"/>
        </w:tabs>
        <w:ind w:left="1985" w:hanging="567"/>
      </w:pPr>
      <w:rPr>
        <w:rFonts w:ascii="Arial" w:hAnsi="Arial" w:cs="Times New Roman" w:hint="default"/>
        <w:b w:val="0"/>
        <w:i w:val="0"/>
        <w:sz w:val="20"/>
      </w:rPr>
    </w:lvl>
    <w:lvl w:ilvl="4">
      <w:start w:val="1"/>
      <w:numFmt w:val="lowerRoman"/>
      <w:lvlText w:val="(%5)"/>
      <w:lvlJc w:val="left"/>
      <w:pPr>
        <w:tabs>
          <w:tab w:val="num" w:pos="2552"/>
        </w:tabs>
        <w:ind w:left="2552" w:hanging="567"/>
      </w:pPr>
      <w:rPr>
        <w:rFonts w:ascii="Arial" w:hAnsi="Arial" w:cs="Times New Roman" w:hint="default"/>
        <w:b w:val="0"/>
        <w:i w:val="0"/>
        <w:sz w:val="20"/>
      </w:rPr>
    </w:lvl>
    <w:lvl w:ilvl="5">
      <w:start w:val="1"/>
      <w:numFmt w:val="upperLetter"/>
      <w:lvlText w:val="(%6)"/>
      <w:lvlJc w:val="left"/>
      <w:pPr>
        <w:tabs>
          <w:tab w:val="num" w:pos="2836"/>
        </w:tabs>
        <w:ind w:left="2836" w:hanging="567"/>
      </w:pPr>
      <w:rPr>
        <w:rFonts w:ascii="Arial" w:hAnsi="Arial" w:cs="Times New Roman" w:hint="default"/>
        <w:b w:val="0"/>
        <w:i w:val="0"/>
        <w:sz w:val="20"/>
      </w:rPr>
    </w:lvl>
    <w:lvl w:ilvl="6">
      <w:start w:val="1"/>
      <w:numFmt w:val="upperRoman"/>
      <w:lvlText w:val="(%7)"/>
      <w:lvlJc w:val="left"/>
      <w:pPr>
        <w:tabs>
          <w:tab w:val="num" w:pos="3402"/>
        </w:tabs>
        <w:ind w:left="3403" w:hanging="567"/>
      </w:pPr>
      <w:rPr>
        <w:rFonts w:ascii="Arial" w:hAnsi="Arial" w:cs="Times New Roman" w:hint="default"/>
        <w:b w:val="0"/>
        <w:i w:val="0"/>
        <w:sz w:val="20"/>
      </w:rPr>
    </w:lvl>
    <w:lvl w:ilvl="7">
      <w:start w:val="1"/>
      <w:numFmt w:val="lowerLetter"/>
      <w:lvlText w:val="(%8)"/>
      <w:lvlJc w:val="left"/>
      <w:pPr>
        <w:tabs>
          <w:tab w:val="num" w:pos="3970"/>
        </w:tabs>
        <w:ind w:left="3970" w:hanging="567"/>
      </w:pPr>
      <w:rPr>
        <w:rFonts w:ascii="Arial" w:hAnsi="Arial" w:cs="Times New Roman" w:hint="default"/>
        <w:b w:val="0"/>
        <w:i w:val="0"/>
        <w:sz w:val="20"/>
      </w:rPr>
    </w:lvl>
    <w:lvl w:ilvl="8">
      <w:start w:val="1"/>
      <w:numFmt w:val="lowerRoman"/>
      <w:lvlText w:val="(%9)"/>
      <w:lvlJc w:val="left"/>
      <w:pPr>
        <w:tabs>
          <w:tab w:val="num" w:pos="4536"/>
        </w:tabs>
        <w:ind w:left="4537" w:hanging="567"/>
      </w:pPr>
      <w:rPr>
        <w:rFonts w:ascii="Arial" w:hAnsi="Arial" w:cs="Times New Roman" w:hint="default"/>
        <w:b w:val="0"/>
        <w:i w:val="0"/>
        <w:sz w:val="20"/>
      </w:rPr>
    </w:lvl>
  </w:abstractNum>
  <w:abstractNum w:abstractNumId="2" w15:restartNumberingAfterBreak="0">
    <w:nsid w:val="0BAF6490"/>
    <w:multiLevelType w:val="hybridMultilevel"/>
    <w:tmpl w:val="FAEAB0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4701D"/>
    <w:multiLevelType w:val="hybridMultilevel"/>
    <w:tmpl w:val="43823440"/>
    <w:lvl w:ilvl="0" w:tplc="E348DE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C78BE"/>
    <w:multiLevelType w:val="hybridMultilevel"/>
    <w:tmpl w:val="B162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ED0DA1"/>
    <w:multiLevelType w:val="hybridMultilevel"/>
    <w:tmpl w:val="0D80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70583"/>
    <w:multiLevelType w:val="hybridMultilevel"/>
    <w:tmpl w:val="54C0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128F1"/>
    <w:multiLevelType w:val="hybridMultilevel"/>
    <w:tmpl w:val="2640E0A8"/>
    <w:lvl w:ilvl="0" w:tplc="B67684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E7979"/>
    <w:multiLevelType w:val="hybridMultilevel"/>
    <w:tmpl w:val="D348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6761B"/>
    <w:multiLevelType w:val="hybridMultilevel"/>
    <w:tmpl w:val="62D01A58"/>
    <w:lvl w:ilvl="0" w:tplc="08090001">
      <w:start w:val="1"/>
      <w:numFmt w:val="bullet"/>
      <w:lvlText w:val=""/>
      <w:lvlJc w:val="left"/>
      <w:pPr>
        <w:ind w:left="381" w:hanging="360"/>
      </w:pPr>
      <w:rPr>
        <w:rFonts w:ascii="Symbol" w:hAnsi="Symbol"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10" w15:restartNumberingAfterBreak="0">
    <w:nsid w:val="62301DCA"/>
    <w:multiLevelType w:val="hybridMultilevel"/>
    <w:tmpl w:val="3AC4F7EC"/>
    <w:lvl w:ilvl="0" w:tplc="08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2B37AC"/>
    <w:multiLevelType w:val="multilevel"/>
    <w:tmpl w:val="269CB976"/>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val="0"/>
      </w:rPr>
    </w:lvl>
    <w:lvl w:ilvl="2">
      <w:start w:val="1"/>
      <w:numFmt w:val="decimal"/>
      <w:lvlText w:val="%2.%3"/>
      <w:lvlJc w:val="left"/>
      <w:pPr>
        <w:tabs>
          <w:tab w:val="num" w:pos="709"/>
        </w:tabs>
        <w:ind w:left="709" w:hanging="709"/>
      </w:pPr>
      <w:rPr>
        <w:rFonts w:cs="Times New Roman" w:hint="default"/>
        <w:b w:val="0"/>
      </w:rPr>
    </w:lvl>
    <w:lvl w:ilvl="3">
      <w:start w:val="1"/>
      <w:numFmt w:val="upperLetter"/>
      <w:lvlText w:val="(%4)"/>
      <w:lvlJc w:val="left"/>
      <w:pPr>
        <w:tabs>
          <w:tab w:val="num" w:pos="1418"/>
        </w:tabs>
        <w:ind w:left="1418" w:hanging="709"/>
      </w:pPr>
      <w:rPr>
        <w:rFonts w:cs="Times New Roman" w:hint="default"/>
        <w:b w:val="0"/>
      </w:rPr>
    </w:lvl>
    <w:lvl w:ilvl="4">
      <w:start w:val="1"/>
      <w:numFmt w:val="decimal"/>
      <w:lvlText w:val="(%5)"/>
      <w:lvlJc w:val="left"/>
      <w:pPr>
        <w:tabs>
          <w:tab w:val="num" w:pos="1985"/>
        </w:tabs>
        <w:ind w:left="1985" w:hanging="567"/>
      </w:pPr>
      <w:rPr>
        <w:rFonts w:cs="Times New Roman" w:hint="default"/>
        <w:b w:val="0"/>
      </w:rPr>
    </w:lvl>
    <w:lvl w:ilvl="5">
      <w:start w:val="1"/>
      <w:numFmt w:val="lowerLetter"/>
      <w:lvlText w:val="(%6)"/>
      <w:lvlJc w:val="left"/>
      <w:pPr>
        <w:tabs>
          <w:tab w:val="num" w:pos="2552"/>
        </w:tabs>
        <w:ind w:left="2552" w:hanging="567"/>
      </w:pPr>
      <w:rPr>
        <w:rFonts w:cs="Times New Roman" w:hint="default"/>
        <w:b w:val="0"/>
      </w:rPr>
    </w:lvl>
    <w:lvl w:ilvl="6">
      <w:start w:val="1"/>
      <w:numFmt w:val="lowerRoman"/>
      <w:lvlText w:val="(%7)"/>
      <w:lvlJc w:val="left"/>
      <w:pPr>
        <w:tabs>
          <w:tab w:val="num" w:pos="3119"/>
        </w:tabs>
        <w:ind w:left="3119" w:hanging="567"/>
      </w:pPr>
      <w:rPr>
        <w:rFonts w:cs="Times New Roman" w:hint="default"/>
        <w:b w:val="0"/>
      </w:rPr>
    </w:lvl>
    <w:lvl w:ilvl="7">
      <w:start w:val="1"/>
      <w:numFmt w:val="none"/>
      <w:suff w:val="nothing"/>
      <w:lvlText w:val=""/>
      <w:lvlJc w:val="left"/>
      <w:rPr>
        <w:rFonts w:cs="Times New Roman" w:hint="default"/>
        <w:b w:val="0"/>
      </w:rPr>
    </w:lvl>
    <w:lvl w:ilvl="8">
      <w:start w:val="1"/>
      <w:numFmt w:val="none"/>
      <w:suff w:val="nothing"/>
      <w:lvlText w:val=""/>
      <w:lvlJc w:val="left"/>
      <w:rPr>
        <w:rFonts w:cs="Times New Roman" w:hint="default"/>
        <w:b w:val="0"/>
      </w:rPr>
    </w:lvl>
  </w:abstractNum>
  <w:abstractNum w:abstractNumId="12" w15:restartNumberingAfterBreak="0">
    <w:nsid w:val="7CA10B6D"/>
    <w:multiLevelType w:val="hybridMultilevel"/>
    <w:tmpl w:val="200A9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num>
  <w:num w:numId="5">
    <w:abstractNumId w:val="4"/>
  </w:num>
  <w:num w:numId="6">
    <w:abstractNumId w:val="3"/>
  </w:num>
  <w:num w:numId="7">
    <w:abstractNumId w:val="2"/>
  </w:num>
  <w:num w:numId="8">
    <w:abstractNumId w:val="9"/>
  </w:num>
  <w:num w:numId="9">
    <w:abstractNumId w:val="12"/>
  </w:num>
  <w:num w:numId="10">
    <w:abstractNumId w:val="6"/>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946308985"/>
    <w:docVar w:name="APWAFNeedToUniquify" w:val="false"/>
    <w:docVar w:name="APWAFVersion" w:val="5.0"/>
    <w:docVar w:name="CheckedForWebBugs" w:val="True"/>
    <w:docVar w:name="CurrentReferenceFormat" w:val="[DocumentNumber]"/>
  </w:docVars>
  <w:rsids>
    <w:rsidRoot w:val="00AA6B1B"/>
    <w:rsid w:val="0000092D"/>
    <w:rsid w:val="00000FE9"/>
    <w:rsid w:val="000020E5"/>
    <w:rsid w:val="000027CB"/>
    <w:rsid w:val="000059D2"/>
    <w:rsid w:val="0001090A"/>
    <w:rsid w:val="0002446F"/>
    <w:rsid w:val="00026259"/>
    <w:rsid w:val="00031C1E"/>
    <w:rsid w:val="000347F0"/>
    <w:rsid w:val="000355D0"/>
    <w:rsid w:val="00042648"/>
    <w:rsid w:val="0004283C"/>
    <w:rsid w:val="00051567"/>
    <w:rsid w:val="000600D8"/>
    <w:rsid w:val="00060261"/>
    <w:rsid w:val="00060B88"/>
    <w:rsid w:val="00061FAD"/>
    <w:rsid w:val="0006220D"/>
    <w:rsid w:val="00065209"/>
    <w:rsid w:val="000748DA"/>
    <w:rsid w:val="000779F6"/>
    <w:rsid w:val="00080DDF"/>
    <w:rsid w:val="00081824"/>
    <w:rsid w:val="00095DCF"/>
    <w:rsid w:val="00096BDB"/>
    <w:rsid w:val="000A04BB"/>
    <w:rsid w:val="000A121D"/>
    <w:rsid w:val="000A1D3F"/>
    <w:rsid w:val="000A3E4C"/>
    <w:rsid w:val="000A4195"/>
    <w:rsid w:val="000A4BC3"/>
    <w:rsid w:val="000B2D85"/>
    <w:rsid w:val="000B5061"/>
    <w:rsid w:val="000B50A0"/>
    <w:rsid w:val="000C1B2A"/>
    <w:rsid w:val="000C646E"/>
    <w:rsid w:val="000D0C93"/>
    <w:rsid w:val="000D2023"/>
    <w:rsid w:val="000D30BB"/>
    <w:rsid w:val="000D37D9"/>
    <w:rsid w:val="000D5947"/>
    <w:rsid w:val="000D5A17"/>
    <w:rsid w:val="000E012A"/>
    <w:rsid w:val="000E1DA5"/>
    <w:rsid w:val="000E395D"/>
    <w:rsid w:val="000E468A"/>
    <w:rsid w:val="000E4910"/>
    <w:rsid w:val="000E7FFB"/>
    <w:rsid w:val="000F6DEA"/>
    <w:rsid w:val="0010151C"/>
    <w:rsid w:val="001030D8"/>
    <w:rsid w:val="00110362"/>
    <w:rsid w:val="00112D93"/>
    <w:rsid w:val="00112F1E"/>
    <w:rsid w:val="001134F7"/>
    <w:rsid w:val="0011472B"/>
    <w:rsid w:val="00120271"/>
    <w:rsid w:val="00132136"/>
    <w:rsid w:val="001357AA"/>
    <w:rsid w:val="001366AE"/>
    <w:rsid w:val="00137B40"/>
    <w:rsid w:val="001407DA"/>
    <w:rsid w:val="00141891"/>
    <w:rsid w:val="0014441B"/>
    <w:rsid w:val="00153A58"/>
    <w:rsid w:val="00155CB4"/>
    <w:rsid w:val="001664FD"/>
    <w:rsid w:val="00170652"/>
    <w:rsid w:val="00171008"/>
    <w:rsid w:val="00173A6E"/>
    <w:rsid w:val="00175644"/>
    <w:rsid w:val="0017650D"/>
    <w:rsid w:val="001812B1"/>
    <w:rsid w:val="00181758"/>
    <w:rsid w:val="00181DB1"/>
    <w:rsid w:val="00181FF5"/>
    <w:rsid w:val="0018352E"/>
    <w:rsid w:val="001855D5"/>
    <w:rsid w:val="00192736"/>
    <w:rsid w:val="00193043"/>
    <w:rsid w:val="001A0B9A"/>
    <w:rsid w:val="001A1EA0"/>
    <w:rsid w:val="001A2347"/>
    <w:rsid w:val="001A5FC8"/>
    <w:rsid w:val="001A71FA"/>
    <w:rsid w:val="001A7537"/>
    <w:rsid w:val="001A7926"/>
    <w:rsid w:val="001B11B8"/>
    <w:rsid w:val="001B12BE"/>
    <w:rsid w:val="001B17C2"/>
    <w:rsid w:val="001B3974"/>
    <w:rsid w:val="001B3B74"/>
    <w:rsid w:val="001B5447"/>
    <w:rsid w:val="001B560E"/>
    <w:rsid w:val="001B6B7F"/>
    <w:rsid w:val="001B7D43"/>
    <w:rsid w:val="001C19C9"/>
    <w:rsid w:val="001C3F1D"/>
    <w:rsid w:val="001C50CD"/>
    <w:rsid w:val="001C534D"/>
    <w:rsid w:val="001D0321"/>
    <w:rsid w:val="001D1121"/>
    <w:rsid w:val="001D2F39"/>
    <w:rsid w:val="001D67E9"/>
    <w:rsid w:val="001E00E4"/>
    <w:rsid w:val="001E527B"/>
    <w:rsid w:val="001E68FE"/>
    <w:rsid w:val="001F0D59"/>
    <w:rsid w:val="001F4A23"/>
    <w:rsid w:val="001F60C3"/>
    <w:rsid w:val="00200BC2"/>
    <w:rsid w:val="002055A6"/>
    <w:rsid w:val="00205CAF"/>
    <w:rsid w:val="00212417"/>
    <w:rsid w:val="00217952"/>
    <w:rsid w:val="00223310"/>
    <w:rsid w:val="002401D9"/>
    <w:rsid w:val="002408CC"/>
    <w:rsid w:val="00241DB4"/>
    <w:rsid w:val="002432E0"/>
    <w:rsid w:val="002443BA"/>
    <w:rsid w:val="002521FB"/>
    <w:rsid w:val="00255D46"/>
    <w:rsid w:val="00256216"/>
    <w:rsid w:val="002567D9"/>
    <w:rsid w:val="0025714E"/>
    <w:rsid w:val="00257634"/>
    <w:rsid w:val="0026201A"/>
    <w:rsid w:val="00263C5F"/>
    <w:rsid w:val="002704A1"/>
    <w:rsid w:val="00270DAE"/>
    <w:rsid w:val="002735CA"/>
    <w:rsid w:val="002768E7"/>
    <w:rsid w:val="002838D2"/>
    <w:rsid w:val="00283D3F"/>
    <w:rsid w:val="00284140"/>
    <w:rsid w:val="0028648D"/>
    <w:rsid w:val="00286584"/>
    <w:rsid w:val="00290284"/>
    <w:rsid w:val="002932D1"/>
    <w:rsid w:val="00293662"/>
    <w:rsid w:val="002971DC"/>
    <w:rsid w:val="002A27FD"/>
    <w:rsid w:val="002B3463"/>
    <w:rsid w:val="002B55B2"/>
    <w:rsid w:val="002B6C73"/>
    <w:rsid w:val="002C0623"/>
    <w:rsid w:val="002C6E2E"/>
    <w:rsid w:val="002D0FDE"/>
    <w:rsid w:val="002D27C2"/>
    <w:rsid w:val="002D3830"/>
    <w:rsid w:val="002D3FD1"/>
    <w:rsid w:val="002D639C"/>
    <w:rsid w:val="002D756F"/>
    <w:rsid w:val="002E31D2"/>
    <w:rsid w:val="002F1CAA"/>
    <w:rsid w:val="002F48E4"/>
    <w:rsid w:val="002F4BD4"/>
    <w:rsid w:val="002F6103"/>
    <w:rsid w:val="002F72F9"/>
    <w:rsid w:val="003006DC"/>
    <w:rsid w:val="00306B68"/>
    <w:rsid w:val="00306EAF"/>
    <w:rsid w:val="00310AC0"/>
    <w:rsid w:val="0031398B"/>
    <w:rsid w:val="00314E08"/>
    <w:rsid w:val="00316F57"/>
    <w:rsid w:val="00324BFA"/>
    <w:rsid w:val="003250AC"/>
    <w:rsid w:val="00327BC8"/>
    <w:rsid w:val="003307A1"/>
    <w:rsid w:val="003310A2"/>
    <w:rsid w:val="00331118"/>
    <w:rsid w:val="00331A0E"/>
    <w:rsid w:val="003329A9"/>
    <w:rsid w:val="00337F58"/>
    <w:rsid w:val="003408C2"/>
    <w:rsid w:val="0034430E"/>
    <w:rsid w:val="003511E7"/>
    <w:rsid w:val="003513DC"/>
    <w:rsid w:val="00356EE0"/>
    <w:rsid w:val="00361911"/>
    <w:rsid w:val="00362F0C"/>
    <w:rsid w:val="00363551"/>
    <w:rsid w:val="00365729"/>
    <w:rsid w:val="00365C9E"/>
    <w:rsid w:val="0036696A"/>
    <w:rsid w:val="00366E02"/>
    <w:rsid w:val="003737A9"/>
    <w:rsid w:val="00374AB2"/>
    <w:rsid w:val="003835AC"/>
    <w:rsid w:val="00383633"/>
    <w:rsid w:val="00384B62"/>
    <w:rsid w:val="003874D9"/>
    <w:rsid w:val="00390979"/>
    <w:rsid w:val="003914DC"/>
    <w:rsid w:val="003928E2"/>
    <w:rsid w:val="003A1F7A"/>
    <w:rsid w:val="003A3986"/>
    <w:rsid w:val="003A49DF"/>
    <w:rsid w:val="003A59E9"/>
    <w:rsid w:val="003A72F4"/>
    <w:rsid w:val="003B01CB"/>
    <w:rsid w:val="003B2546"/>
    <w:rsid w:val="003C000F"/>
    <w:rsid w:val="003C19A8"/>
    <w:rsid w:val="003C27FD"/>
    <w:rsid w:val="003C4E20"/>
    <w:rsid w:val="003D1297"/>
    <w:rsid w:val="003D2A07"/>
    <w:rsid w:val="003D3FF3"/>
    <w:rsid w:val="003D6F08"/>
    <w:rsid w:val="003E2B7F"/>
    <w:rsid w:val="003E2C96"/>
    <w:rsid w:val="003E3398"/>
    <w:rsid w:val="003E6FD4"/>
    <w:rsid w:val="003F308A"/>
    <w:rsid w:val="003F34C0"/>
    <w:rsid w:val="003F5150"/>
    <w:rsid w:val="003F6A23"/>
    <w:rsid w:val="00400E67"/>
    <w:rsid w:val="0040259A"/>
    <w:rsid w:val="0041141F"/>
    <w:rsid w:val="004145D2"/>
    <w:rsid w:val="004224B6"/>
    <w:rsid w:val="0042456E"/>
    <w:rsid w:val="004256D2"/>
    <w:rsid w:val="004322DB"/>
    <w:rsid w:val="00435EF3"/>
    <w:rsid w:val="00436E9D"/>
    <w:rsid w:val="00437374"/>
    <w:rsid w:val="004408A4"/>
    <w:rsid w:val="004444F2"/>
    <w:rsid w:val="00444DEA"/>
    <w:rsid w:val="00447BB8"/>
    <w:rsid w:val="0045048D"/>
    <w:rsid w:val="004512AF"/>
    <w:rsid w:val="00455D51"/>
    <w:rsid w:val="0046172D"/>
    <w:rsid w:val="00461F81"/>
    <w:rsid w:val="0046294F"/>
    <w:rsid w:val="00467887"/>
    <w:rsid w:val="004725C5"/>
    <w:rsid w:val="00472AFB"/>
    <w:rsid w:val="0048424A"/>
    <w:rsid w:val="004856B4"/>
    <w:rsid w:val="004926EF"/>
    <w:rsid w:val="00492BD5"/>
    <w:rsid w:val="004931E8"/>
    <w:rsid w:val="00493F07"/>
    <w:rsid w:val="004A02F8"/>
    <w:rsid w:val="004B2C62"/>
    <w:rsid w:val="004B5626"/>
    <w:rsid w:val="004D17B5"/>
    <w:rsid w:val="004D351E"/>
    <w:rsid w:val="004D5551"/>
    <w:rsid w:val="004E75DD"/>
    <w:rsid w:val="004F2CE5"/>
    <w:rsid w:val="004F522A"/>
    <w:rsid w:val="004F63A4"/>
    <w:rsid w:val="004F7FF9"/>
    <w:rsid w:val="00501CFC"/>
    <w:rsid w:val="0050252F"/>
    <w:rsid w:val="00504DEA"/>
    <w:rsid w:val="005109C3"/>
    <w:rsid w:val="00510DA2"/>
    <w:rsid w:val="00520DE4"/>
    <w:rsid w:val="00525585"/>
    <w:rsid w:val="005265AF"/>
    <w:rsid w:val="005267B2"/>
    <w:rsid w:val="005346A8"/>
    <w:rsid w:val="00534BA5"/>
    <w:rsid w:val="00537DD5"/>
    <w:rsid w:val="005433E6"/>
    <w:rsid w:val="0054632A"/>
    <w:rsid w:val="00550389"/>
    <w:rsid w:val="0056356A"/>
    <w:rsid w:val="00567711"/>
    <w:rsid w:val="00571BC5"/>
    <w:rsid w:val="00573FF6"/>
    <w:rsid w:val="00573FF7"/>
    <w:rsid w:val="00577E8F"/>
    <w:rsid w:val="005863D4"/>
    <w:rsid w:val="00586F20"/>
    <w:rsid w:val="005917FE"/>
    <w:rsid w:val="00593F3B"/>
    <w:rsid w:val="00595590"/>
    <w:rsid w:val="005A1887"/>
    <w:rsid w:val="005A2A29"/>
    <w:rsid w:val="005B536F"/>
    <w:rsid w:val="005B595E"/>
    <w:rsid w:val="005C491E"/>
    <w:rsid w:val="005D07A5"/>
    <w:rsid w:val="005D296A"/>
    <w:rsid w:val="005E403D"/>
    <w:rsid w:val="005F3194"/>
    <w:rsid w:val="005F5F94"/>
    <w:rsid w:val="005F729C"/>
    <w:rsid w:val="005F7DC8"/>
    <w:rsid w:val="006032E3"/>
    <w:rsid w:val="00605ADD"/>
    <w:rsid w:val="0061133F"/>
    <w:rsid w:val="00613540"/>
    <w:rsid w:val="00614A15"/>
    <w:rsid w:val="0063143D"/>
    <w:rsid w:val="00635B90"/>
    <w:rsid w:val="00636F92"/>
    <w:rsid w:val="0064370E"/>
    <w:rsid w:val="00643FFB"/>
    <w:rsid w:val="0064767A"/>
    <w:rsid w:val="0065476B"/>
    <w:rsid w:val="00655853"/>
    <w:rsid w:val="00663385"/>
    <w:rsid w:val="006648B8"/>
    <w:rsid w:val="006654F5"/>
    <w:rsid w:val="00665753"/>
    <w:rsid w:val="0066707D"/>
    <w:rsid w:val="00673AEE"/>
    <w:rsid w:val="00681192"/>
    <w:rsid w:val="00682EF5"/>
    <w:rsid w:val="00683DA1"/>
    <w:rsid w:val="00684C73"/>
    <w:rsid w:val="00686598"/>
    <w:rsid w:val="006869EF"/>
    <w:rsid w:val="006910E6"/>
    <w:rsid w:val="006931A6"/>
    <w:rsid w:val="00696326"/>
    <w:rsid w:val="0069753C"/>
    <w:rsid w:val="006A105E"/>
    <w:rsid w:val="006A2922"/>
    <w:rsid w:val="006A3642"/>
    <w:rsid w:val="006A5138"/>
    <w:rsid w:val="006B04BD"/>
    <w:rsid w:val="006C1B87"/>
    <w:rsid w:val="006C1DD1"/>
    <w:rsid w:val="006C24C0"/>
    <w:rsid w:val="006C2EEF"/>
    <w:rsid w:val="006C32E2"/>
    <w:rsid w:val="006C39F7"/>
    <w:rsid w:val="006C4C75"/>
    <w:rsid w:val="006C56C5"/>
    <w:rsid w:val="006C5A49"/>
    <w:rsid w:val="006C6FD2"/>
    <w:rsid w:val="006D1998"/>
    <w:rsid w:val="006D19BB"/>
    <w:rsid w:val="006D4F94"/>
    <w:rsid w:val="006D7413"/>
    <w:rsid w:val="006E126C"/>
    <w:rsid w:val="006E2A06"/>
    <w:rsid w:val="006E374F"/>
    <w:rsid w:val="006E396C"/>
    <w:rsid w:val="006E3C18"/>
    <w:rsid w:val="006E6F7F"/>
    <w:rsid w:val="006F243B"/>
    <w:rsid w:val="006F7C14"/>
    <w:rsid w:val="00703777"/>
    <w:rsid w:val="00707D9F"/>
    <w:rsid w:val="00715EA8"/>
    <w:rsid w:val="00716676"/>
    <w:rsid w:val="00721309"/>
    <w:rsid w:val="007221C4"/>
    <w:rsid w:val="00730AEE"/>
    <w:rsid w:val="00733E41"/>
    <w:rsid w:val="00735EEE"/>
    <w:rsid w:val="00740CA7"/>
    <w:rsid w:val="0074202F"/>
    <w:rsid w:val="00744FE6"/>
    <w:rsid w:val="007462D3"/>
    <w:rsid w:val="00760DEC"/>
    <w:rsid w:val="007622A4"/>
    <w:rsid w:val="00762FF0"/>
    <w:rsid w:val="00765019"/>
    <w:rsid w:val="0076557E"/>
    <w:rsid w:val="007701F1"/>
    <w:rsid w:val="0077096F"/>
    <w:rsid w:val="00774914"/>
    <w:rsid w:val="007760BA"/>
    <w:rsid w:val="00776AEF"/>
    <w:rsid w:val="0077733F"/>
    <w:rsid w:val="007773F8"/>
    <w:rsid w:val="0078403D"/>
    <w:rsid w:val="007864C7"/>
    <w:rsid w:val="00791ADF"/>
    <w:rsid w:val="007A0334"/>
    <w:rsid w:val="007A364A"/>
    <w:rsid w:val="007A655A"/>
    <w:rsid w:val="007A6D60"/>
    <w:rsid w:val="007A6D6C"/>
    <w:rsid w:val="007B1CAE"/>
    <w:rsid w:val="007C2C5E"/>
    <w:rsid w:val="007C446D"/>
    <w:rsid w:val="007D3934"/>
    <w:rsid w:val="007D43B5"/>
    <w:rsid w:val="007D549D"/>
    <w:rsid w:val="007D57E6"/>
    <w:rsid w:val="007E07A4"/>
    <w:rsid w:val="007E3599"/>
    <w:rsid w:val="007E6BDC"/>
    <w:rsid w:val="007E7F6D"/>
    <w:rsid w:val="007F2FEA"/>
    <w:rsid w:val="007F5E4C"/>
    <w:rsid w:val="007F7A3B"/>
    <w:rsid w:val="00801BAE"/>
    <w:rsid w:val="008023F0"/>
    <w:rsid w:val="00803C2A"/>
    <w:rsid w:val="008053D6"/>
    <w:rsid w:val="008079EA"/>
    <w:rsid w:val="00807DD0"/>
    <w:rsid w:val="00812CD3"/>
    <w:rsid w:val="00814847"/>
    <w:rsid w:val="00816B47"/>
    <w:rsid w:val="00820EF8"/>
    <w:rsid w:val="00822B25"/>
    <w:rsid w:val="008234BC"/>
    <w:rsid w:val="008245AA"/>
    <w:rsid w:val="008245B0"/>
    <w:rsid w:val="00826DEF"/>
    <w:rsid w:val="0083679F"/>
    <w:rsid w:val="00846D66"/>
    <w:rsid w:val="00851337"/>
    <w:rsid w:val="008602EB"/>
    <w:rsid w:val="00862230"/>
    <w:rsid w:val="00863795"/>
    <w:rsid w:val="00866208"/>
    <w:rsid w:val="00870434"/>
    <w:rsid w:val="00870D92"/>
    <w:rsid w:val="00872E93"/>
    <w:rsid w:val="00876711"/>
    <w:rsid w:val="008776E9"/>
    <w:rsid w:val="00881029"/>
    <w:rsid w:val="00885EB5"/>
    <w:rsid w:val="008912C4"/>
    <w:rsid w:val="00892708"/>
    <w:rsid w:val="00897D24"/>
    <w:rsid w:val="00897E5D"/>
    <w:rsid w:val="008A09BD"/>
    <w:rsid w:val="008A2075"/>
    <w:rsid w:val="008A2B5F"/>
    <w:rsid w:val="008A30C5"/>
    <w:rsid w:val="008A3EA6"/>
    <w:rsid w:val="008A41AB"/>
    <w:rsid w:val="008B2EC9"/>
    <w:rsid w:val="008B5E82"/>
    <w:rsid w:val="008C14BE"/>
    <w:rsid w:val="008C74A8"/>
    <w:rsid w:val="008D0BD7"/>
    <w:rsid w:val="008D1426"/>
    <w:rsid w:val="008D5629"/>
    <w:rsid w:val="008D5635"/>
    <w:rsid w:val="008E0F28"/>
    <w:rsid w:val="008E17CF"/>
    <w:rsid w:val="008E4B56"/>
    <w:rsid w:val="008E6F18"/>
    <w:rsid w:val="008F4212"/>
    <w:rsid w:val="00905687"/>
    <w:rsid w:val="00906AEF"/>
    <w:rsid w:val="0091036B"/>
    <w:rsid w:val="00910859"/>
    <w:rsid w:val="00913FC7"/>
    <w:rsid w:val="00916C93"/>
    <w:rsid w:val="0092002A"/>
    <w:rsid w:val="00920AF2"/>
    <w:rsid w:val="00926BFD"/>
    <w:rsid w:val="00931456"/>
    <w:rsid w:val="009400DD"/>
    <w:rsid w:val="009426A2"/>
    <w:rsid w:val="009525DC"/>
    <w:rsid w:val="009559AB"/>
    <w:rsid w:val="00956819"/>
    <w:rsid w:val="00956F6D"/>
    <w:rsid w:val="0096143A"/>
    <w:rsid w:val="009662B2"/>
    <w:rsid w:val="00966DFA"/>
    <w:rsid w:val="00967F4D"/>
    <w:rsid w:val="009728F3"/>
    <w:rsid w:val="009762E4"/>
    <w:rsid w:val="00984943"/>
    <w:rsid w:val="009869D7"/>
    <w:rsid w:val="009869F9"/>
    <w:rsid w:val="00987FA1"/>
    <w:rsid w:val="00991770"/>
    <w:rsid w:val="009941E4"/>
    <w:rsid w:val="00994E04"/>
    <w:rsid w:val="00994F3F"/>
    <w:rsid w:val="009B1465"/>
    <w:rsid w:val="009B1594"/>
    <w:rsid w:val="009B22DD"/>
    <w:rsid w:val="009C0455"/>
    <w:rsid w:val="009C7B40"/>
    <w:rsid w:val="009D312C"/>
    <w:rsid w:val="009E1049"/>
    <w:rsid w:val="009F5E07"/>
    <w:rsid w:val="00A002B2"/>
    <w:rsid w:val="00A02BBA"/>
    <w:rsid w:val="00A04651"/>
    <w:rsid w:val="00A06ABD"/>
    <w:rsid w:val="00A07EC1"/>
    <w:rsid w:val="00A171D4"/>
    <w:rsid w:val="00A30254"/>
    <w:rsid w:val="00A30455"/>
    <w:rsid w:val="00A30863"/>
    <w:rsid w:val="00A32A65"/>
    <w:rsid w:val="00A32AED"/>
    <w:rsid w:val="00A331D7"/>
    <w:rsid w:val="00A3404E"/>
    <w:rsid w:val="00A34BEF"/>
    <w:rsid w:val="00A3637B"/>
    <w:rsid w:val="00A41179"/>
    <w:rsid w:val="00A4175F"/>
    <w:rsid w:val="00A4623C"/>
    <w:rsid w:val="00A520ED"/>
    <w:rsid w:val="00A56DA5"/>
    <w:rsid w:val="00A61C56"/>
    <w:rsid w:val="00A639A4"/>
    <w:rsid w:val="00A665DF"/>
    <w:rsid w:val="00A66D18"/>
    <w:rsid w:val="00A67080"/>
    <w:rsid w:val="00A67BB7"/>
    <w:rsid w:val="00A71178"/>
    <w:rsid w:val="00A72BEB"/>
    <w:rsid w:val="00A75A84"/>
    <w:rsid w:val="00A83C52"/>
    <w:rsid w:val="00A83D73"/>
    <w:rsid w:val="00A84D6E"/>
    <w:rsid w:val="00A84DC5"/>
    <w:rsid w:val="00A879B6"/>
    <w:rsid w:val="00A955E4"/>
    <w:rsid w:val="00A95DAD"/>
    <w:rsid w:val="00AA182E"/>
    <w:rsid w:val="00AA3FF1"/>
    <w:rsid w:val="00AA46FC"/>
    <w:rsid w:val="00AA6B1B"/>
    <w:rsid w:val="00AB1591"/>
    <w:rsid w:val="00AB2129"/>
    <w:rsid w:val="00AB5D0E"/>
    <w:rsid w:val="00AC128C"/>
    <w:rsid w:val="00AC3B3C"/>
    <w:rsid w:val="00AD0C55"/>
    <w:rsid w:val="00AD1934"/>
    <w:rsid w:val="00AD1B7B"/>
    <w:rsid w:val="00AD29AD"/>
    <w:rsid w:val="00AD3EDE"/>
    <w:rsid w:val="00AD4811"/>
    <w:rsid w:val="00AD522E"/>
    <w:rsid w:val="00AE0B0E"/>
    <w:rsid w:val="00AE1FD0"/>
    <w:rsid w:val="00AE5284"/>
    <w:rsid w:val="00AE5556"/>
    <w:rsid w:val="00AE7B17"/>
    <w:rsid w:val="00AF2FDC"/>
    <w:rsid w:val="00AF332F"/>
    <w:rsid w:val="00B014A9"/>
    <w:rsid w:val="00B02206"/>
    <w:rsid w:val="00B05FB1"/>
    <w:rsid w:val="00B209C9"/>
    <w:rsid w:val="00B21457"/>
    <w:rsid w:val="00B21C92"/>
    <w:rsid w:val="00B23B4E"/>
    <w:rsid w:val="00B24A91"/>
    <w:rsid w:val="00B27C78"/>
    <w:rsid w:val="00B32BB0"/>
    <w:rsid w:val="00B331A9"/>
    <w:rsid w:val="00B41342"/>
    <w:rsid w:val="00B47909"/>
    <w:rsid w:val="00B52A84"/>
    <w:rsid w:val="00B60175"/>
    <w:rsid w:val="00B63A75"/>
    <w:rsid w:val="00B64459"/>
    <w:rsid w:val="00B65B61"/>
    <w:rsid w:val="00B70946"/>
    <w:rsid w:val="00B77A7F"/>
    <w:rsid w:val="00B802E9"/>
    <w:rsid w:val="00B821C6"/>
    <w:rsid w:val="00B8348A"/>
    <w:rsid w:val="00B842C9"/>
    <w:rsid w:val="00B85FDB"/>
    <w:rsid w:val="00B95BA7"/>
    <w:rsid w:val="00BA049B"/>
    <w:rsid w:val="00BA0D0A"/>
    <w:rsid w:val="00BA2A43"/>
    <w:rsid w:val="00BA62AE"/>
    <w:rsid w:val="00BA7AE0"/>
    <w:rsid w:val="00BB2687"/>
    <w:rsid w:val="00BB37A0"/>
    <w:rsid w:val="00BB43A8"/>
    <w:rsid w:val="00BB69A8"/>
    <w:rsid w:val="00BB7A3C"/>
    <w:rsid w:val="00BD067A"/>
    <w:rsid w:val="00BD1E27"/>
    <w:rsid w:val="00BE1283"/>
    <w:rsid w:val="00BE2839"/>
    <w:rsid w:val="00BE4061"/>
    <w:rsid w:val="00BE61A4"/>
    <w:rsid w:val="00BF0E89"/>
    <w:rsid w:val="00BF1233"/>
    <w:rsid w:val="00BF3945"/>
    <w:rsid w:val="00BF550D"/>
    <w:rsid w:val="00C0062C"/>
    <w:rsid w:val="00C02274"/>
    <w:rsid w:val="00C0785C"/>
    <w:rsid w:val="00C07B8E"/>
    <w:rsid w:val="00C103D1"/>
    <w:rsid w:val="00C11284"/>
    <w:rsid w:val="00C17453"/>
    <w:rsid w:val="00C21BE3"/>
    <w:rsid w:val="00C21CD1"/>
    <w:rsid w:val="00C30DE6"/>
    <w:rsid w:val="00C319A9"/>
    <w:rsid w:val="00C34092"/>
    <w:rsid w:val="00C36EBD"/>
    <w:rsid w:val="00C374DE"/>
    <w:rsid w:val="00C44287"/>
    <w:rsid w:val="00C449B9"/>
    <w:rsid w:val="00C454A7"/>
    <w:rsid w:val="00C4579D"/>
    <w:rsid w:val="00C45A3D"/>
    <w:rsid w:val="00C52832"/>
    <w:rsid w:val="00C55282"/>
    <w:rsid w:val="00C5578A"/>
    <w:rsid w:val="00C63030"/>
    <w:rsid w:val="00C65791"/>
    <w:rsid w:val="00C6696E"/>
    <w:rsid w:val="00C66E7D"/>
    <w:rsid w:val="00C71352"/>
    <w:rsid w:val="00C802FE"/>
    <w:rsid w:val="00C86220"/>
    <w:rsid w:val="00C91638"/>
    <w:rsid w:val="00C94021"/>
    <w:rsid w:val="00C96367"/>
    <w:rsid w:val="00CA22E7"/>
    <w:rsid w:val="00CB2891"/>
    <w:rsid w:val="00CB381C"/>
    <w:rsid w:val="00CB5BE6"/>
    <w:rsid w:val="00CB6389"/>
    <w:rsid w:val="00CB721A"/>
    <w:rsid w:val="00CC3C6F"/>
    <w:rsid w:val="00CC6701"/>
    <w:rsid w:val="00CD29DE"/>
    <w:rsid w:val="00CD41BC"/>
    <w:rsid w:val="00CD5AB4"/>
    <w:rsid w:val="00CD5D13"/>
    <w:rsid w:val="00CE7EDE"/>
    <w:rsid w:val="00CF3DA9"/>
    <w:rsid w:val="00CF44DA"/>
    <w:rsid w:val="00CF5A28"/>
    <w:rsid w:val="00CF7CBC"/>
    <w:rsid w:val="00D04373"/>
    <w:rsid w:val="00D16418"/>
    <w:rsid w:val="00D21333"/>
    <w:rsid w:val="00D216D0"/>
    <w:rsid w:val="00D27EB5"/>
    <w:rsid w:val="00D32AA2"/>
    <w:rsid w:val="00D333DD"/>
    <w:rsid w:val="00D33EF0"/>
    <w:rsid w:val="00D34FA1"/>
    <w:rsid w:val="00D409C0"/>
    <w:rsid w:val="00D43CE5"/>
    <w:rsid w:val="00D446B6"/>
    <w:rsid w:val="00D51A1F"/>
    <w:rsid w:val="00D542C5"/>
    <w:rsid w:val="00D5597F"/>
    <w:rsid w:val="00D56939"/>
    <w:rsid w:val="00D57EA5"/>
    <w:rsid w:val="00D600D0"/>
    <w:rsid w:val="00D702EF"/>
    <w:rsid w:val="00D722B3"/>
    <w:rsid w:val="00D74B24"/>
    <w:rsid w:val="00D75361"/>
    <w:rsid w:val="00D759C3"/>
    <w:rsid w:val="00D75C46"/>
    <w:rsid w:val="00D77EBB"/>
    <w:rsid w:val="00D82E46"/>
    <w:rsid w:val="00D84D8E"/>
    <w:rsid w:val="00D85933"/>
    <w:rsid w:val="00D876E9"/>
    <w:rsid w:val="00D91399"/>
    <w:rsid w:val="00D9204B"/>
    <w:rsid w:val="00D929B8"/>
    <w:rsid w:val="00DA3A4B"/>
    <w:rsid w:val="00DA751F"/>
    <w:rsid w:val="00DB0DC4"/>
    <w:rsid w:val="00DB1042"/>
    <w:rsid w:val="00DB3D78"/>
    <w:rsid w:val="00DC3EAA"/>
    <w:rsid w:val="00DC5D01"/>
    <w:rsid w:val="00DC682D"/>
    <w:rsid w:val="00DC6ECE"/>
    <w:rsid w:val="00DD40DE"/>
    <w:rsid w:val="00DD41CB"/>
    <w:rsid w:val="00DD472E"/>
    <w:rsid w:val="00DE0FA1"/>
    <w:rsid w:val="00DE208F"/>
    <w:rsid w:val="00DE7390"/>
    <w:rsid w:val="00DE7D1D"/>
    <w:rsid w:val="00E031EB"/>
    <w:rsid w:val="00E11D62"/>
    <w:rsid w:val="00E1346C"/>
    <w:rsid w:val="00E16570"/>
    <w:rsid w:val="00E17011"/>
    <w:rsid w:val="00E20CF6"/>
    <w:rsid w:val="00E26973"/>
    <w:rsid w:val="00E334DA"/>
    <w:rsid w:val="00E33D18"/>
    <w:rsid w:val="00E35C73"/>
    <w:rsid w:val="00E4198B"/>
    <w:rsid w:val="00E43A49"/>
    <w:rsid w:val="00E4677C"/>
    <w:rsid w:val="00E52A59"/>
    <w:rsid w:val="00E54457"/>
    <w:rsid w:val="00E56253"/>
    <w:rsid w:val="00E5726F"/>
    <w:rsid w:val="00E610EA"/>
    <w:rsid w:val="00E66ABF"/>
    <w:rsid w:val="00E7377E"/>
    <w:rsid w:val="00E744CA"/>
    <w:rsid w:val="00E7530B"/>
    <w:rsid w:val="00E75456"/>
    <w:rsid w:val="00E82386"/>
    <w:rsid w:val="00E82489"/>
    <w:rsid w:val="00E90F02"/>
    <w:rsid w:val="00EA0EEF"/>
    <w:rsid w:val="00EA16BA"/>
    <w:rsid w:val="00EA56A0"/>
    <w:rsid w:val="00EA61A6"/>
    <w:rsid w:val="00EA7596"/>
    <w:rsid w:val="00EB180C"/>
    <w:rsid w:val="00EB2596"/>
    <w:rsid w:val="00EB2D0B"/>
    <w:rsid w:val="00EB45A2"/>
    <w:rsid w:val="00EB7773"/>
    <w:rsid w:val="00EC4CB1"/>
    <w:rsid w:val="00EC5BD1"/>
    <w:rsid w:val="00EC6221"/>
    <w:rsid w:val="00EC628F"/>
    <w:rsid w:val="00EC7622"/>
    <w:rsid w:val="00ED0148"/>
    <w:rsid w:val="00ED1026"/>
    <w:rsid w:val="00ED5BC2"/>
    <w:rsid w:val="00ED6CEE"/>
    <w:rsid w:val="00EE05D7"/>
    <w:rsid w:val="00EF17F3"/>
    <w:rsid w:val="00EF285E"/>
    <w:rsid w:val="00EF3E21"/>
    <w:rsid w:val="00EF50C9"/>
    <w:rsid w:val="00EF6EAA"/>
    <w:rsid w:val="00F05786"/>
    <w:rsid w:val="00F10F33"/>
    <w:rsid w:val="00F121B0"/>
    <w:rsid w:val="00F14C01"/>
    <w:rsid w:val="00F15E52"/>
    <w:rsid w:val="00F1776B"/>
    <w:rsid w:val="00F353AD"/>
    <w:rsid w:val="00F3692E"/>
    <w:rsid w:val="00F36CFE"/>
    <w:rsid w:val="00F42CCA"/>
    <w:rsid w:val="00F44748"/>
    <w:rsid w:val="00F44DFE"/>
    <w:rsid w:val="00F512B1"/>
    <w:rsid w:val="00F54180"/>
    <w:rsid w:val="00F60F8E"/>
    <w:rsid w:val="00F62177"/>
    <w:rsid w:val="00F63C09"/>
    <w:rsid w:val="00F64F67"/>
    <w:rsid w:val="00F65B62"/>
    <w:rsid w:val="00F6748E"/>
    <w:rsid w:val="00F7311B"/>
    <w:rsid w:val="00F743F7"/>
    <w:rsid w:val="00F75B35"/>
    <w:rsid w:val="00F7700E"/>
    <w:rsid w:val="00F7773D"/>
    <w:rsid w:val="00F77D11"/>
    <w:rsid w:val="00F80082"/>
    <w:rsid w:val="00F82C03"/>
    <w:rsid w:val="00F902A5"/>
    <w:rsid w:val="00F912F9"/>
    <w:rsid w:val="00F95E73"/>
    <w:rsid w:val="00FA1467"/>
    <w:rsid w:val="00FA1F01"/>
    <w:rsid w:val="00FA25B8"/>
    <w:rsid w:val="00FA3109"/>
    <w:rsid w:val="00FA6F2B"/>
    <w:rsid w:val="00FA728B"/>
    <w:rsid w:val="00FB6634"/>
    <w:rsid w:val="00FC0613"/>
    <w:rsid w:val="00FC383B"/>
    <w:rsid w:val="00FC4664"/>
    <w:rsid w:val="00FC6B42"/>
    <w:rsid w:val="00FC6F0D"/>
    <w:rsid w:val="00FD13A3"/>
    <w:rsid w:val="00FD15C0"/>
    <w:rsid w:val="00FD25FF"/>
    <w:rsid w:val="00FD4830"/>
    <w:rsid w:val="00FD5F21"/>
    <w:rsid w:val="00FD7362"/>
    <w:rsid w:val="00FE23A1"/>
    <w:rsid w:val="00FE292E"/>
    <w:rsid w:val="00FE4C72"/>
    <w:rsid w:val="00FF0C2D"/>
    <w:rsid w:val="00FF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855A5"/>
  <w15:docId w15:val="{B82DFFF5-EB53-334E-B929-D55F5FED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75456"/>
    <w:pPr>
      <w:keepNext/>
      <w:spacing w:after="0" w:line="240" w:lineRule="auto"/>
      <w:outlineLvl w:val="0"/>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p">
    <w:name w:val="hp"/>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n">
    <w:name w:val="hn"/>
    <w:basedOn w:val="DefaultParagraphFont"/>
    <w:rsid w:val="00F7773D"/>
  </w:style>
  <w:style w:type="paragraph" w:customStyle="1" w:styleId="hq">
    <w:name w:val="hq"/>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l">
    <w:name w:val="hl"/>
    <w:basedOn w:val="DefaultParagraphFont"/>
    <w:rsid w:val="00F7773D"/>
  </w:style>
  <w:style w:type="paragraph" w:customStyle="1" w:styleId="hs">
    <w:name w:val="hs"/>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j">
    <w:name w:val="hj"/>
    <w:basedOn w:val="DefaultParagraphFont"/>
    <w:rsid w:val="00F7773D"/>
  </w:style>
  <w:style w:type="paragraph" w:customStyle="1" w:styleId="ht">
    <w:name w:val="ht"/>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h">
    <w:name w:val="dh"/>
    <w:basedOn w:val="DefaultParagraphFont"/>
    <w:rsid w:val="00F7773D"/>
  </w:style>
  <w:style w:type="character" w:customStyle="1" w:styleId="hu">
    <w:name w:val="hu"/>
    <w:basedOn w:val="DefaultParagraphFont"/>
    <w:rsid w:val="00F7773D"/>
  </w:style>
  <w:style w:type="character" w:customStyle="1" w:styleId="dg">
    <w:name w:val="dg"/>
    <w:basedOn w:val="DefaultParagraphFont"/>
    <w:rsid w:val="00F7773D"/>
  </w:style>
  <w:style w:type="paragraph" w:customStyle="1" w:styleId="hv">
    <w:name w:val="hv"/>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b">
    <w:name w:val="hb"/>
    <w:basedOn w:val="DefaultParagraphFont"/>
    <w:rsid w:val="00F7773D"/>
  </w:style>
  <w:style w:type="character" w:customStyle="1" w:styleId="gz">
    <w:name w:val="gz"/>
    <w:basedOn w:val="DefaultParagraphFont"/>
    <w:rsid w:val="00F7773D"/>
  </w:style>
  <w:style w:type="character" w:customStyle="1" w:styleId="gy">
    <w:name w:val="gy"/>
    <w:basedOn w:val="DefaultParagraphFont"/>
    <w:rsid w:val="00F7773D"/>
  </w:style>
  <w:style w:type="paragraph" w:customStyle="1" w:styleId="hw">
    <w:name w:val="hw"/>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x">
    <w:name w:val="hx"/>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y">
    <w:name w:val="hy"/>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z">
    <w:name w:val="hz"/>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a">
    <w:name w:val="ia"/>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b">
    <w:name w:val="ib"/>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s">
    <w:name w:val="gs"/>
    <w:basedOn w:val="DefaultParagraphFont"/>
    <w:rsid w:val="00F7773D"/>
  </w:style>
  <w:style w:type="paragraph" w:customStyle="1" w:styleId="ic">
    <w:name w:val="ic"/>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d">
    <w:name w:val="id"/>
    <w:basedOn w:val="DefaultParagraphFont"/>
    <w:rsid w:val="00F7773D"/>
  </w:style>
  <w:style w:type="paragraph" w:customStyle="1" w:styleId="ie">
    <w:name w:val="ie"/>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f">
    <w:name w:val="if"/>
    <w:basedOn w:val="DefaultParagraphFont"/>
    <w:rsid w:val="00F7773D"/>
  </w:style>
  <w:style w:type="paragraph" w:customStyle="1" w:styleId="ig">
    <w:name w:val="ig"/>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h">
    <w:name w:val="ih"/>
    <w:basedOn w:val="DefaultParagraphFont"/>
    <w:rsid w:val="00F7773D"/>
  </w:style>
  <w:style w:type="paragraph" w:customStyle="1" w:styleId="ii">
    <w:name w:val="ii"/>
    <w:basedOn w:val="Normal"/>
    <w:rsid w:val="00F77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7773D"/>
    <w:rPr>
      <w:sz w:val="16"/>
      <w:szCs w:val="16"/>
    </w:rPr>
  </w:style>
  <w:style w:type="paragraph" w:styleId="CommentText">
    <w:name w:val="annotation text"/>
    <w:basedOn w:val="Normal"/>
    <w:link w:val="CommentTextChar"/>
    <w:uiPriority w:val="99"/>
    <w:semiHidden/>
    <w:unhideWhenUsed/>
    <w:rsid w:val="00F7773D"/>
    <w:pPr>
      <w:spacing w:line="240" w:lineRule="auto"/>
    </w:pPr>
    <w:rPr>
      <w:sz w:val="20"/>
      <w:szCs w:val="20"/>
    </w:rPr>
  </w:style>
  <w:style w:type="character" w:customStyle="1" w:styleId="CommentTextChar">
    <w:name w:val="Comment Text Char"/>
    <w:basedOn w:val="DefaultParagraphFont"/>
    <w:link w:val="CommentText"/>
    <w:uiPriority w:val="99"/>
    <w:semiHidden/>
    <w:rsid w:val="00F7773D"/>
    <w:rPr>
      <w:sz w:val="20"/>
      <w:szCs w:val="20"/>
    </w:rPr>
  </w:style>
  <w:style w:type="paragraph" w:styleId="CommentSubject">
    <w:name w:val="annotation subject"/>
    <w:basedOn w:val="CommentText"/>
    <w:next w:val="CommentText"/>
    <w:link w:val="CommentSubjectChar"/>
    <w:uiPriority w:val="99"/>
    <w:semiHidden/>
    <w:unhideWhenUsed/>
    <w:rsid w:val="00F7773D"/>
    <w:rPr>
      <w:b/>
      <w:bCs/>
    </w:rPr>
  </w:style>
  <w:style w:type="character" w:customStyle="1" w:styleId="CommentSubjectChar">
    <w:name w:val="Comment Subject Char"/>
    <w:basedOn w:val="CommentTextChar"/>
    <w:link w:val="CommentSubject"/>
    <w:uiPriority w:val="99"/>
    <w:semiHidden/>
    <w:rsid w:val="00F7773D"/>
    <w:rPr>
      <w:b/>
      <w:bCs/>
      <w:sz w:val="20"/>
      <w:szCs w:val="20"/>
    </w:rPr>
  </w:style>
  <w:style w:type="paragraph" w:styleId="BalloonText">
    <w:name w:val="Balloon Text"/>
    <w:basedOn w:val="Normal"/>
    <w:link w:val="BalloonTextChar"/>
    <w:uiPriority w:val="99"/>
    <w:semiHidden/>
    <w:unhideWhenUsed/>
    <w:rsid w:val="00F77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73D"/>
    <w:rPr>
      <w:rFonts w:ascii="Segoe UI" w:hAnsi="Segoe UI" w:cs="Segoe UI"/>
      <w:sz w:val="18"/>
      <w:szCs w:val="18"/>
    </w:rPr>
  </w:style>
  <w:style w:type="table" w:styleId="TableGrid">
    <w:name w:val="Table Grid"/>
    <w:basedOn w:val="TableNormal"/>
    <w:uiPriority w:val="39"/>
    <w:rsid w:val="0066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
    <w:name w:val="bs"/>
    <w:basedOn w:val="Normal"/>
    <w:rsid w:val="006657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5753"/>
    <w:rPr>
      <w:color w:val="0000FF"/>
      <w:u w:val="single"/>
    </w:rPr>
  </w:style>
  <w:style w:type="paragraph" w:styleId="ListParagraph">
    <w:name w:val="List Paragraph"/>
    <w:basedOn w:val="Normal"/>
    <w:uiPriority w:val="34"/>
    <w:qFormat/>
    <w:rsid w:val="00FE4C72"/>
    <w:pPr>
      <w:ind w:left="720"/>
      <w:contextualSpacing/>
    </w:pPr>
  </w:style>
  <w:style w:type="paragraph" w:customStyle="1" w:styleId="eh">
    <w:name w:val="eh"/>
    <w:basedOn w:val="Normal"/>
    <w:rsid w:val="00D446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p">
    <w:name w:val="dp"/>
    <w:basedOn w:val="DefaultParagraphFont"/>
    <w:rsid w:val="00D446B6"/>
  </w:style>
  <w:style w:type="character" w:customStyle="1" w:styleId="cl">
    <w:name w:val="cl"/>
    <w:basedOn w:val="DefaultParagraphFont"/>
    <w:rsid w:val="00D446B6"/>
  </w:style>
  <w:style w:type="paragraph" w:customStyle="1" w:styleId="eu">
    <w:name w:val="eu"/>
    <w:basedOn w:val="Normal"/>
    <w:rsid w:val="008F42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m">
    <w:name w:val="cm"/>
    <w:basedOn w:val="DefaultParagraphFont"/>
    <w:rsid w:val="008F4212"/>
  </w:style>
  <w:style w:type="character" w:customStyle="1" w:styleId="er">
    <w:name w:val="er"/>
    <w:basedOn w:val="DefaultParagraphFont"/>
    <w:rsid w:val="008F4212"/>
  </w:style>
  <w:style w:type="character" w:customStyle="1" w:styleId="cj">
    <w:name w:val="cj"/>
    <w:basedOn w:val="DefaultParagraphFont"/>
    <w:rsid w:val="008F4212"/>
  </w:style>
  <w:style w:type="character" w:customStyle="1" w:styleId="dj">
    <w:name w:val="dj"/>
    <w:basedOn w:val="DefaultParagraphFont"/>
    <w:rsid w:val="008F4212"/>
  </w:style>
  <w:style w:type="character" w:customStyle="1" w:styleId="ci">
    <w:name w:val="ci"/>
    <w:basedOn w:val="DefaultParagraphFont"/>
    <w:rsid w:val="008F4212"/>
  </w:style>
  <w:style w:type="character" w:customStyle="1" w:styleId="dc">
    <w:name w:val="dc"/>
    <w:basedOn w:val="DefaultParagraphFont"/>
    <w:rsid w:val="008F4212"/>
  </w:style>
  <w:style w:type="paragraph" w:customStyle="1" w:styleId="fi">
    <w:name w:val="fi"/>
    <w:basedOn w:val="Normal"/>
    <w:rsid w:val="003310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i">
    <w:name w:val="ei"/>
    <w:basedOn w:val="DefaultParagraphFont"/>
    <w:rsid w:val="003310A2"/>
  </w:style>
  <w:style w:type="character" w:customStyle="1" w:styleId="ej">
    <w:name w:val="ej"/>
    <w:basedOn w:val="DefaultParagraphFont"/>
    <w:rsid w:val="00E66ABF"/>
  </w:style>
  <w:style w:type="paragraph" w:styleId="FootnoteText">
    <w:name w:val="footnote text"/>
    <w:basedOn w:val="Normal"/>
    <w:link w:val="FootnoteTextChar"/>
    <w:uiPriority w:val="99"/>
    <w:semiHidden/>
    <w:unhideWhenUsed/>
    <w:rsid w:val="005109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9C3"/>
    <w:rPr>
      <w:sz w:val="20"/>
      <w:szCs w:val="20"/>
    </w:rPr>
  </w:style>
  <w:style w:type="character" w:styleId="FootnoteReference">
    <w:name w:val="footnote reference"/>
    <w:basedOn w:val="DefaultParagraphFont"/>
    <w:uiPriority w:val="99"/>
    <w:semiHidden/>
    <w:unhideWhenUsed/>
    <w:rsid w:val="005109C3"/>
    <w:rPr>
      <w:vertAlign w:val="superscript"/>
    </w:rPr>
  </w:style>
  <w:style w:type="character" w:customStyle="1" w:styleId="UnresolvedMention1">
    <w:name w:val="Unresolved Mention1"/>
    <w:basedOn w:val="DefaultParagraphFont"/>
    <w:uiPriority w:val="99"/>
    <w:semiHidden/>
    <w:unhideWhenUsed/>
    <w:rsid w:val="005109C3"/>
    <w:rPr>
      <w:color w:val="605E5C"/>
      <w:shd w:val="clear" w:color="auto" w:fill="E1DFDD"/>
    </w:rPr>
  </w:style>
  <w:style w:type="paragraph" w:styleId="EndnoteText">
    <w:name w:val="endnote text"/>
    <w:basedOn w:val="Normal"/>
    <w:link w:val="EndnoteTextChar"/>
    <w:uiPriority w:val="99"/>
    <w:semiHidden/>
    <w:unhideWhenUsed/>
    <w:rsid w:val="008D56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5635"/>
    <w:rPr>
      <w:sz w:val="20"/>
      <w:szCs w:val="20"/>
    </w:rPr>
  </w:style>
  <w:style w:type="character" w:styleId="EndnoteReference">
    <w:name w:val="endnote reference"/>
    <w:basedOn w:val="DefaultParagraphFont"/>
    <w:uiPriority w:val="99"/>
    <w:semiHidden/>
    <w:unhideWhenUsed/>
    <w:rsid w:val="008D5635"/>
    <w:rPr>
      <w:vertAlign w:val="superscript"/>
    </w:rPr>
  </w:style>
  <w:style w:type="paragraph" w:styleId="Revision">
    <w:name w:val="Revision"/>
    <w:hidden/>
    <w:uiPriority w:val="99"/>
    <w:semiHidden/>
    <w:rsid w:val="008D5635"/>
    <w:pPr>
      <w:spacing w:after="0" w:line="240" w:lineRule="auto"/>
    </w:pPr>
  </w:style>
  <w:style w:type="character" w:customStyle="1" w:styleId="Heading1Char">
    <w:name w:val="Heading 1 Char"/>
    <w:basedOn w:val="DefaultParagraphFont"/>
    <w:link w:val="Heading1"/>
    <w:rsid w:val="00E75456"/>
    <w:rPr>
      <w:rFonts w:ascii="Arial" w:eastAsia="Times New Roman" w:hAnsi="Arial" w:cs="Times New Roman"/>
      <w:b/>
      <w:sz w:val="24"/>
      <w:szCs w:val="20"/>
      <w:u w:val="single"/>
    </w:rPr>
  </w:style>
  <w:style w:type="paragraph" w:customStyle="1" w:styleId="ssPara1">
    <w:name w:val="ssPara1"/>
    <w:basedOn w:val="Normal"/>
    <w:rsid w:val="00E75456"/>
    <w:pPr>
      <w:spacing w:after="260" w:line="240" w:lineRule="auto"/>
      <w:jc w:val="both"/>
    </w:pPr>
    <w:rPr>
      <w:rFonts w:ascii="Arial" w:eastAsia="SimSun" w:hAnsi="Arial" w:cs="Times New Roman"/>
      <w:lang w:eastAsia="zh-CN"/>
    </w:rPr>
  </w:style>
  <w:style w:type="paragraph" w:customStyle="1" w:styleId="ssNoHeading1">
    <w:name w:val="ssNoHeading1"/>
    <w:basedOn w:val="Heading1"/>
    <w:rsid w:val="00E75456"/>
    <w:pPr>
      <w:keepNext w:val="0"/>
      <w:numPr>
        <w:ilvl w:val="1"/>
      </w:numPr>
      <w:tabs>
        <w:tab w:val="num" w:pos="709"/>
      </w:tabs>
      <w:spacing w:after="260"/>
      <w:ind w:left="709" w:hanging="709"/>
      <w:jc w:val="both"/>
    </w:pPr>
    <w:rPr>
      <w:rFonts w:eastAsia="SimSun" w:cs="Arial"/>
      <w:b w:val="0"/>
      <w:bCs/>
      <w:kern w:val="32"/>
      <w:sz w:val="22"/>
      <w:szCs w:val="22"/>
      <w:u w:val="none"/>
      <w:lang w:eastAsia="zh-CN"/>
    </w:rPr>
  </w:style>
  <w:style w:type="paragraph" w:customStyle="1" w:styleId="c5">
    <w:name w:val="c5"/>
    <w:basedOn w:val="Normal"/>
    <w:rsid w:val="00E7545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3">
    <w:name w:val="3"/>
    <w:basedOn w:val="Normal"/>
    <w:rsid w:val="00E75456"/>
    <w:pPr>
      <w:numPr>
        <w:ilvl w:val="3"/>
        <w:numId w:val="14"/>
      </w:numPr>
      <w:spacing w:after="240" w:line="288" w:lineRule="auto"/>
      <w:jc w:val="both"/>
    </w:pPr>
    <w:rPr>
      <w:rFonts w:ascii="Arial" w:eastAsia="Times New Roman" w:hAnsi="Arial" w:cs="Times New Roman"/>
      <w:sz w:val="20"/>
      <w:szCs w:val="20"/>
    </w:rPr>
  </w:style>
  <w:style w:type="paragraph" w:styleId="Header">
    <w:name w:val="header"/>
    <w:basedOn w:val="Normal"/>
    <w:link w:val="HeaderChar"/>
    <w:uiPriority w:val="99"/>
    <w:unhideWhenUsed/>
    <w:rsid w:val="00B27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C78"/>
  </w:style>
  <w:style w:type="paragraph" w:styleId="Footer">
    <w:name w:val="footer"/>
    <w:basedOn w:val="Normal"/>
    <w:link w:val="FooterChar"/>
    <w:uiPriority w:val="99"/>
    <w:unhideWhenUsed/>
    <w:rsid w:val="00B27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C78"/>
  </w:style>
  <w:style w:type="character" w:styleId="FollowedHyperlink">
    <w:name w:val="FollowedHyperlink"/>
    <w:basedOn w:val="DefaultParagraphFont"/>
    <w:uiPriority w:val="99"/>
    <w:semiHidden/>
    <w:unhideWhenUsed/>
    <w:rsid w:val="00042648"/>
    <w:rPr>
      <w:color w:val="954F72" w:themeColor="followedHyperlink"/>
      <w:u w:val="single"/>
    </w:rPr>
  </w:style>
  <w:style w:type="character" w:customStyle="1" w:styleId="UnresolvedMention2">
    <w:name w:val="Unresolved Mention2"/>
    <w:basedOn w:val="DefaultParagraphFont"/>
    <w:uiPriority w:val="99"/>
    <w:semiHidden/>
    <w:unhideWhenUsed/>
    <w:rsid w:val="001D2F39"/>
    <w:rPr>
      <w:color w:val="605E5C"/>
      <w:shd w:val="clear" w:color="auto" w:fill="E1DFDD"/>
    </w:rPr>
  </w:style>
  <w:style w:type="paragraph" w:customStyle="1" w:styleId="ik">
    <w:name w:val="ik"/>
    <w:basedOn w:val="Normal"/>
    <w:rsid w:val="002571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x">
    <w:name w:val="dx"/>
    <w:basedOn w:val="Normal"/>
    <w:rsid w:val="00FC6F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t">
    <w:name w:val="dt"/>
    <w:basedOn w:val="DefaultParagraphFont"/>
    <w:rsid w:val="00FC6F0D"/>
  </w:style>
  <w:style w:type="character" w:customStyle="1" w:styleId="dy">
    <w:name w:val="dy"/>
    <w:basedOn w:val="DefaultParagraphFont"/>
    <w:rsid w:val="00FC6F0D"/>
  </w:style>
  <w:style w:type="character" w:customStyle="1" w:styleId="dr">
    <w:name w:val="dr"/>
    <w:basedOn w:val="DefaultParagraphFont"/>
    <w:rsid w:val="00FC6F0D"/>
  </w:style>
  <w:style w:type="character" w:customStyle="1" w:styleId="dz">
    <w:name w:val="dz"/>
    <w:basedOn w:val="DefaultParagraphFont"/>
    <w:rsid w:val="00FC6F0D"/>
  </w:style>
  <w:style w:type="character" w:customStyle="1" w:styleId="ea">
    <w:name w:val="ea"/>
    <w:basedOn w:val="DefaultParagraphFont"/>
    <w:rsid w:val="00FC6F0D"/>
  </w:style>
  <w:style w:type="paragraph" w:customStyle="1" w:styleId="FooterReference">
    <w:name w:val="Footer Reference"/>
    <w:basedOn w:val="Footer"/>
    <w:link w:val="FooterReferenceChar"/>
    <w:semiHidden/>
    <w:rsid w:val="00AF2FDC"/>
    <w:pPr>
      <w:spacing w:after="100" w:afterAutospacing="1"/>
      <w:ind w:right="27"/>
    </w:pPr>
    <w:rPr>
      <w:rFonts w:ascii="Times New Roman" w:hAnsi="Times New Roman" w:cs="Times New Roman"/>
      <w:bCs/>
      <w:sz w:val="16"/>
      <w:szCs w:val="20"/>
    </w:rPr>
  </w:style>
  <w:style w:type="character" w:customStyle="1" w:styleId="FooterReferenceChar">
    <w:name w:val="Footer Reference Char"/>
    <w:basedOn w:val="DefaultParagraphFont"/>
    <w:link w:val="FooterReference"/>
    <w:semiHidden/>
    <w:rsid w:val="00AF2FDC"/>
    <w:rPr>
      <w:rFonts w:ascii="Times New Roman" w:hAnsi="Times New Roman" w:cs="Times New Roman"/>
      <w:bCs/>
      <w:sz w:val="16"/>
      <w:szCs w:val="20"/>
    </w:rPr>
  </w:style>
  <w:style w:type="paragraph" w:customStyle="1" w:styleId="ep">
    <w:name w:val="ep"/>
    <w:basedOn w:val="Normal"/>
    <w:rsid w:val="00B65B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
    <w:name w:val="en"/>
    <w:basedOn w:val="DefaultParagraphFont"/>
    <w:rsid w:val="00B65B61"/>
  </w:style>
  <w:style w:type="paragraph" w:customStyle="1" w:styleId="eq">
    <w:name w:val="eq"/>
    <w:basedOn w:val="Normal"/>
    <w:rsid w:val="00B65B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
    <w:name w:val="el"/>
    <w:basedOn w:val="DefaultParagraphFont"/>
    <w:rsid w:val="00B65B61"/>
  </w:style>
  <w:style w:type="paragraph" w:customStyle="1" w:styleId="es">
    <w:name w:val="es"/>
    <w:basedOn w:val="Normal"/>
    <w:rsid w:val="00B65B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t">
    <w:name w:val="et"/>
    <w:basedOn w:val="Normal"/>
    <w:rsid w:val="00B65B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
    <w:name w:val="ex"/>
    <w:basedOn w:val="DefaultParagraphFont"/>
    <w:rsid w:val="00DC5D01"/>
  </w:style>
  <w:style w:type="paragraph" w:customStyle="1" w:styleId="fv">
    <w:name w:val="fv"/>
    <w:basedOn w:val="Normal"/>
    <w:rsid w:val="00DC5D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MacroText">
    <w:name w:val="macro"/>
    <w:link w:val="MacroTextChar"/>
    <w:uiPriority w:val="99"/>
    <w:semiHidden/>
    <w:unhideWhenUsed/>
    <w:rsid w:val="00C3409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3409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9687">
      <w:bodyDiv w:val="1"/>
      <w:marLeft w:val="0"/>
      <w:marRight w:val="0"/>
      <w:marTop w:val="0"/>
      <w:marBottom w:val="0"/>
      <w:divBdr>
        <w:top w:val="none" w:sz="0" w:space="0" w:color="auto"/>
        <w:left w:val="none" w:sz="0" w:space="0" w:color="auto"/>
        <w:bottom w:val="none" w:sz="0" w:space="0" w:color="auto"/>
        <w:right w:val="none" w:sz="0" w:space="0" w:color="auto"/>
      </w:divBdr>
    </w:div>
    <w:div w:id="102891713">
      <w:bodyDiv w:val="1"/>
      <w:marLeft w:val="0"/>
      <w:marRight w:val="0"/>
      <w:marTop w:val="0"/>
      <w:marBottom w:val="0"/>
      <w:divBdr>
        <w:top w:val="none" w:sz="0" w:space="0" w:color="auto"/>
        <w:left w:val="none" w:sz="0" w:space="0" w:color="auto"/>
        <w:bottom w:val="none" w:sz="0" w:space="0" w:color="auto"/>
        <w:right w:val="none" w:sz="0" w:space="0" w:color="auto"/>
      </w:divBdr>
    </w:div>
    <w:div w:id="139229392">
      <w:bodyDiv w:val="1"/>
      <w:marLeft w:val="0"/>
      <w:marRight w:val="0"/>
      <w:marTop w:val="0"/>
      <w:marBottom w:val="0"/>
      <w:divBdr>
        <w:top w:val="none" w:sz="0" w:space="0" w:color="auto"/>
        <w:left w:val="none" w:sz="0" w:space="0" w:color="auto"/>
        <w:bottom w:val="none" w:sz="0" w:space="0" w:color="auto"/>
        <w:right w:val="none" w:sz="0" w:space="0" w:color="auto"/>
      </w:divBdr>
    </w:div>
    <w:div w:id="220362221">
      <w:bodyDiv w:val="1"/>
      <w:marLeft w:val="0"/>
      <w:marRight w:val="0"/>
      <w:marTop w:val="0"/>
      <w:marBottom w:val="0"/>
      <w:divBdr>
        <w:top w:val="none" w:sz="0" w:space="0" w:color="auto"/>
        <w:left w:val="none" w:sz="0" w:space="0" w:color="auto"/>
        <w:bottom w:val="none" w:sz="0" w:space="0" w:color="auto"/>
        <w:right w:val="none" w:sz="0" w:space="0" w:color="auto"/>
      </w:divBdr>
    </w:div>
    <w:div w:id="396903873">
      <w:bodyDiv w:val="1"/>
      <w:marLeft w:val="0"/>
      <w:marRight w:val="0"/>
      <w:marTop w:val="0"/>
      <w:marBottom w:val="0"/>
      <w:divBdr>
        <w:top w:val="none" w:sz="0" w:space="0" w:color="auto"/>
        <w:left w:val="none" w:sz="0" w:space="0" w:color="auto"/>
        <w:bottom w:val="none" w:sz="0" w:space="0" w:color="auto"/>
        <w:right w:val="none" w:sz="0" w:space="0" w:color="auto"/>
      </w:divBdr>
    </w:div>
    <w:div w:id="418185687">
      <w:bodyDiv w:val="1"/>
      <w:marLeft w:val="0"/>
      <w:marRight w:val="0"/>
      <w:marTop w:val="0"/>
      <w:marBottom w:val="0"/>
      <w:divBdr>
        <w:top w:val="none" w:sz="0" w:space="0" w:color="auto"/>
        <w:left w:val="none" w:sz="0" w:space="0" w:color="auto"/>
        <w:bottom w:val="none" w:sz="0" w:space="0" w:color="auto"/>
        <w:right w:val="none" w:sz="0" w:space="0" w:color="auto"/>
      </w:divBdr>
    </w:div>
    <w:div w:id="702678179">
      <w:bodyDiv w:val="1"/>
      <w:marLeft w:val="0"/>
      <w:marRight w:val="0"/>
      <w:marTop w:val="0"/>
      <w:marBottom w:val="0"/>
      <w:divBdr>
        <w:top w:val="none" w:sz="0" w:space="0" w:color="auto"/>
        <w:left w:val="none" w:sz="0" w:space="0" w:color="auto"/>
        <w:bottom w:val="none" w:sz="0" w:space="0" w:color="auto"/>
        <w:right w:val="none" w:sz="0" w:space="0" w:color="auto"/>
      </w:divBdr>
    </w:div>
    <w:div w:id="1022588580">
      <w:bodyDiv w:val="1"/>
      <w:marLeft w:val="0"/>
      <w:marRight w:val="0"/>
      <w:marTop w:val="0"/>
      <w:marBottom w:val="0"/>
      <w:divBdr>
        <w:top w:val="none" w:sz="0" w:space="0" w:color="auto"/>
        <w:left w:val="none" w:sz="0" w:space="0" w:color="auto"/>
        <w:bottom w:val="none" w:sz="0" w:space="0" w:color="auto"/>
        <w:right w:val="none" w:sz="0" w:space="0" w:color="auto"/>
      </w:divBdr>
    </w:div>
    <w:div w:id="1086075091">
      <w:bodyDiv w:val="1"/>
      <w:marLeft w:val="0"/>
      <w:marRight w:val="0"/>
      <w:marTop w:val="0"/>
      <w:marBottom w:val="0"/>
      <w:divBdr>
        <w:top w:val="none" w:sz="0" w:space="0" w:color="auto"/>
        <w:left w:val="none" w:sz="0" w:space="0" w:color="auto"/>
        <w:bottom w:val="none" w:sz="0" w:space="0" w:color="auto"/>
        <w:right w:val="none" w:sz="0" w:space="0" w:color="auto"/>
      </w:divBdr>
    </w:div>
    <w:div w:id="1266497639">
      <w:bodyDiv w:val="1"/>
      <w:marLeft w:val="0"/>
      <w:marRight w:val="0"/>
      <w:marTop w:val="0"/>
      <w:marBottom w:val="0"/>
      <w:divBdr>
        <w:top w:val="none" w:sz="0" w:space="0" w:color="auto"/>
        <w:left w:val="none" w:sz="0" w:space="0" w:color="auto"/>
        <w:bottom w:val="none" w:sz="0" w:space="0" w:color="auto"/>
        <w:right w:val="none" w:sz="0" w:space="0" w:color="auto"/>
      </w:divBdr>
    </w:div>
    <w:div w:id="1480147470">
      <w:bodyDiv w:val="1"/>
      <w:marLeft w:val="0"/>
      <w:marRight w:val="0"/>
      <w:marTop w:val="0"/>
      <w:marBottom w:val="0"/>
      <w:divBdr>
        <w:top w:val="none" w:sz="0" w:space="0" w:color="auto"/>
        <w:left w:val="none" w:sz="0" w:space="0" w:color="auto"/>
        <w:bottom w:val="none" w:sz="0" w:space="0" w:color="auto"/>
        <w:right w:val="none" w:sz="0" w:space="0" w:color="auto"/>
      </w:divBdr>
    </w:div>
    <w:div w:id="1630936423">
      <w:bodyDiv w:val="1"/>
      <w:marLeft w:val="0"/>
      <w:marRight w:val="0"/>
      <w:marTop w:val="0"/>
      <w:marBottom w:val="0"/>
      <w:divBdr>
        <w:top w:val="none" w:sz="0" w:space="0" w:color="auto"/>
        <w:left w:val="none" w:sz="0" w:space="0" w:color="auto"/>
        <w:bottom w:val="none" w:sz="0" w:space="0" w:color="auto"/>
        <w:right w:val="none" w:sz="0" w:space="0" w:color="auto"/>
      </w:divBdr>
    </w:div>
    <w:div w:id="1985818571">
      <w:bodyDiv w:val="1"/>
      <w:marLeft w:val="0"/>
      <w:marRight w:val="0"/>
      <w:marTop w:val="0"/>
      <w:marBottom w:val="0"/>
      <w:divBdr>
        <w:top w:val="none" w:sz="0" w:space="0" w:color="auto"/>
        <w:left w:val="none" w:sz="0" w:space="0" w:color="auto"/>
        <w:bottom w:val="none" w:sz="0" w:space="0" w:color="auto"/>
        <w:right w:val="none" w:sz="0" w:space="0" w:color="auto"/>
      </w:divBdr>
    </w:div>
    <w:div w:id="202528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477979B1-04F1-4F60-B4D5-5122FDF9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Willow - Result of placing_130420 CLEAN-1 compared with Willow - Result of placing_130420 CLEAN [CMS Comments 14.4.2020]-1</vt:lpstr>
    </vt:vector>
  </TitlesOfParts>
  <Company>Investec Bank PLC</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Willow - Result of placing_130420 CLEAN-1 compared with Willow - Result of placing_130420 CLEAN [CMS Comments 14.4.2020]-1</dc:title>
  <dc:creator>Frydl, Alice</dc:creator>
  <cp:lastModifiedBy>Nathan Stansfield</cp:lastModifiedBy>
  <cp:revision>1</cp:revision>
  <cp:lastPrinted>2020-06-03T22:21:00Z</cp:lastPrinted>
  <dcterms:created xsi:type="dcterms:W3CDTF">2021-04-27T13:07:00Z</dcterms:created>
  <dcterms:modified xsi:type="dcterms:W3CDTF">2021-04-27T13:07:00Z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c79d4a-8636-4734-9a24-702408a372e1_Enabled">
    <vt:lpwstr>True</vt:lpwstr>
  </property>
  <property fmtid="{D5CDD505-2E9C-101B-9397-08002B2CF9AE}" pid="3" name="MSIP_Label_bec79d4a-8636-4734-9a24-702408a372e1_SiteId">
    <vt:lpwstr>6d6a11bc-469a-48df-a548-d3f353ac1be8</vt:lpwstr>
  </property>
  <property fmtid="{D5CDD505-2E9C-101B-9397-08002B2CF9AE}" pid="4" name="MSIP_Label_bec79d4a-8636-4734-9a24-702408a372e1_SetDate">
    <vt:lpwstr>2019-06-04T09:33:31.2556511Z</vt:lpwstr>
  </property>
  <property fmtid="{D5CDD505-2E9C-101B-9397-08002B2CF9AE}" pid="5" name="MSIP_Label_bec79d4a-8636-4734-9a24-702408a372e1_Name">
    <vt:lpwstr>Investec Confidential</vt:lpwstr>
  </property>
  <property fmtid="{D5CDD505-2E9C-101B-9397-08002B2CF9AE}" pid="6" name="MSIP_Label_bec79d4a-8636-4734-9a24-702408a372e1_Extended_MSFT_Method">
    <vt:lpwstr>Manual</vt:lpwstr>
  </property>
  <property fmtid="{D5CDD505-2E9C-101B-9397-08002B2CF9AE}" pid="7" name="Sensitivity">
    <vt:lpwstr>Investec Confidential</vt:lpwstr>
  </property>
  <property fmtid="{D5CDD505-2E9C-101B-9397-08002B2CF9AE}" pid="8" name="PSLTemplateName">
    <vt:lpwstr>Normal</vt:lpwstr>
  </property>
  <property fmtid="{D5CDD505-2E9C-101B-9397-08002B2CF9AE}" pid="9" name="/bp_dc_orgversion">
    <vt:lpwstr>!sac6nsidtou00reo!adm3,tsn:b!e31d!:Sa:n8:1m:UMsKt8!:s0KDeU:3**:_:6*</vt:lpwstr>
  </property>
  <property fmtid="{D5CDD505-2E9C-101B-9397-08002B2CF9AE}" pid="10" name="/bp_dc_modversion">
    <vt:lpwstr>!sac6nsidtou00reo!adm3,tsn:b!e32d!:Sa:n8:2m:UMsKt8!:s0KDeU:3**:_:6*</vt:lpwstr>
  </property>
  <property fmtid="{D5CDD505-2E9C-101B-9397-08002B2CF9AE}" pid="11" name="/bp_dc_filepath">
    <vt:lpwstr>CATpei 0S4:\p\e\drDWlto34M ..x\oplmpfao\llf12CC42cUfDaprDpctou _0[o10oslac\oomsuwspg  m 2deatoDCco\p elnCNms0.r\aLosscOt-RaiLAet]1s\c u cEn-</vt:lpwstr>
  </property>
  <property fmtid="{D5CDD505-2E9C-101B-9397-08002B2CF9AE}" pid="12" name="bp_dc_comparedocs">
    <vt:lpwstr>4.3.300.65 _tc</vt:lpwstr>
  </property>
</Properties>
</file>